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FD" w:rsidRDefault="000C53FD" w:rsidP="000C53FD">
      <w:pPr>
        <w:pStyle w:val="tytu"/>
      </w:pPr>
      <w:bookmarkStart w:id="0" w:name="_GoBack"/>
      <w:bookmarkEnd w:id="0"/>
    </w:p>
    <w:p w:rsidR="00416A8D" w:rsidRDefault="00416A8D" w:rsidP="000C53FD">
      <w:pPr>
        <w:pStyle w:val="tytu"/>
      </w:pPr>
    </w:p>
    <w:p w:rsidR="000C53FD" w:rsidRDefault="000C53FD" w:rsidP="00CF2DF8">
      <w:pPr>
        <w:pStyle w:val="OZNRODZAKTUtznustawalubrozporzdzenieiorganwydajcy"/>
      </w:pPr>
    </w:p>
    <w:p w:rsidR="00CF2DF8" w:rsidRPr="00CF2DF8" w:rsidRDefault="00CF2DF8" w:rsidP="00CF2DF8">
      <w:pPr>
        <w:pStyle w:val="OZNRODZAKTUtznustawalubrozporzdzenieiorganwydajcy"/>
      </w:pPr>
      <w:r w:rsidRPr="00CF2DF8">
        <w:t>USTAWA</w:t>
      </w:r>
    </w:p>
    <w:p w:rsidR="00CF2DF8" w:rsidRPr="00CF2DF8" w:rsidRDefault="00CF2DF8" w:rsidP="00CF2DF8">
      <w:pPr>
        <w:pStyle w:val="DATAAKTUdatauchwalenialubwydaniaaktu"/>
      </w:pPr>
      <w:r w:rsidRPr="00CF2DF8">
        <w:t>z dnia</w:t>
      </w:r>
      <w:r w:rsidR="000C53FD">
        <w:t xml:space="preserve"> 10 lutego 2017 r.</w:t>
      </w:r>
    </w:p>
    <w:p w:rsidR="00CF2DF8" w:rsidRPr="00CF2DF8" w:rsidRDefault="00CF2DF8" w:rsidP="00CF2DF8">
      <w:pPr>
        <w:pStyle w:val="TYTUAKTUprzedmiotregulacjiustawylubrozporzdzenia"/>
      </w:pPr>
      <w:r w:rsidRPr="00CF2DF8">
        <w:t>o zmianie ustawy – Przepisy wprowadzające ustawę o samorządzie terytorialnym i ustawę o pracownikach samorządowych</w:t>
      </w:r>
    </w:p>
    <w:p w:rsidR="00CF2DF8" w:rsidRPr="00CF2DF8" w:rsidRDefault="00CF2DF8" w:rsidP="00CF2DF8">
      <w:pPr>
        <w:pStyle w:val="ARTartustawynprozporzdzenia"/>
        <w:keepNext/>
      </w:pPr>
      <w:r w:rsidRPr="00CF2DF8">
        <w:rPr>
          <w:rStyle w:val="Ppogrubienie"/>
        </w:rPr>
        <w:t>Art. 1.</w:t>
      </w:r>
      <w:r w:rsidRPr="00CF2DF8">
        <w:t> W ustawie z dnia 10 maja 1990 r. – Przepisy wprowadzające ustawę o samorządzie terytorialnym i ustawę o pracownikach samorządowych (Dz. U. poz. 191, z późn. zm.</w:t>
      </w:r>
      <w:r w:rsidRPr="00CF2DF8">
        <w:rPr>
          <w:rStyle w:val="IGindeksgrny"/>
        </w:rPr>
        <w:footnoteReference w:id="1"/>
      </w:r>
      <w:r w:rsidRPr="00CF2DF8">
        <w:rPr>
          <w:rStyle w:val="IGindeksgrny"/>
        </w:rPr>
        <w:t>)</w:t>
      </w:r>
      <w:r w:rsidRPr="00CF2DF8">
        <w:t>) wprowadza się następujące zmiany:</w:t>
      </w:r>
    </w:p>
    <w:p w:rsidR="00C96BB9" w:rsidRDefault="00CF2DF8" w:rsidP="00CF2DF8">
      <w:pPr>
        <w:pStyle w:val="PKTpunkt"/>
      </w:pPr>
      <w:r w:rsidRPr="00CF2DF8">
        <w:t>1)</w:t>
      </w:r>
      <w:r w:rsidRPr="00CF2DF8">
        <w:tab/>
        <w:t>w art. 18</w:t>
      </w:r>
      <w:r w:rsidR="00C96BB9">
        <w:t>:</w:t>
      </w:r>
    </w:p>
    <w:p w:rsidR="00543422" w:rsidRDefault="00543422" w:rsidP="003C4EC5">
      <w:pPr>
        <w:pStyle w:val="LITlitera"/>
      </w:pPr>
      <w:r>
        <w:t xml:space="preserve">a) w ust. 2 po wyrazie </w:t>
      </w:r>
      <w:r w:rsidR="00ED1BF2" w:rsidRPr="00ED1BF2">
        <w:t>„</w:t>
      </w:r>
      <w:r>
        <w:t>Uwłas</w:t>
      </w:r>
      <w:r w:rsidR="00ED1BF2">
        <w:t>zczeniową</w:t>
      </w:r>
      <w:r w:rsidR="00ED1BF2" w:rsidRPr="00ED1BF2">
        <w:t>”</w:t>
      </w:r>
      <w:r>
        <w:t xml:space="preserve"> dodaje się wyrazy </w:t>
      </w:r>
      <w:r w:rsidR="00ED1BF2" w:rsidRPr="00ED1BF2">
        <w:t>„</w:t>
      </w:r>
      <w:r w:rsidR="00ED1BF2">
        <w:t xml:space="preserve"> </w:t>
      </w:r>
      <w:r>
        <w:t xml:space="preserve">, </w:t>
      </w:r>
      <w:r w:rsidR="00ED1BF2">
        <w:t xml:space="preserve">zwaną dalej </w:t>
      </w:r>
      <w:r w:rsidR="00ED1BF2" w:rsidRPr="00ED1BF2">
        <w:t>„</w:t>
      </w:r>
      <w:r w:rsidR="00ED1BF2">
        <w:t>Komisją</w:t>
      </w:r>
      <w:r w:rsidR="00ED1BF2" w:rsidRPr="00ED1BF2">
        <w:t>”</w:t>
      </w:r>
      <w:r>
        <w:t>,</w:t>
      </w:r>
      <w:r w:rsidR="00ED1BF2" w:rsidRPr="00ED1BF2">
        <w:t>”</w:t>
      </w:r>
      <w:r>
        <w:t>,</w:t>
      </w:r>
    </w:p>
    <w:p w:rsidR="00543422" w:rsidRDefault="00543422" w:rsidP="003C4EC5">
      <w:pPr>
        <w:pStyle w:val="LITlitera"/>
      </w:pPr>
      <w:r>
        <w:t>b) po ust. 2 dodaje się ust. 2a w brzmieniu:</w:t>
      </w:r>
    </w:p>
    <w:p w:rsidR="00543422" w:rsidRPr="003C4EC5" w:rsidRDefault="009342E0" w:rsidP="003C4EC5">
      <w:pPr>
        <w:pStyle w:val="ZUSTzmustartykuempunktem"/>
      </w:pPr>
      <w:r w:rsidRPr="003C4EC5">
        <w:t>„</w:t>
      </w:r>
      <w:r w:rsidR="00543422" w:rsidRPr="003C4EC5">
        <w:t>2a. Siedzibą Komisji jest miasto stołeczne Warszawa.</w:t>
      </w:r>
      <w:r w:rsidR="00ED1BF2" w:rsidRPr="003C4EC5">
        <w:t>”,</w:t>
      </w:r>
    </w:p>
    <w:p w:rsidR="00CF2DF8" w:rsidRDefault="00543422" w:rsidP="003C4EC5">
      <w:pPr>
        <w:pStyle w:val="LITlitera"/>
      </w:pPr>
      <w:r>
        <w:t>c</w:t>
      </w:r>
      <w:r w:rsidR="00C96BB9">
        <w:t xml:space="preserve">) </w:t>
      </w:r>
      <w:r w:rsidR="00CF2DF8" w:rsidRPr="00CF2DF8">
        <w:t>uchyla się</w:t>
      </w:r>
      <w:r w:rsidR="00CF2DF8" w:rsidRPr="00CF2DF8" w:rsidDel="00A2597B">
        <w:t xml:space="preserve"> </w:t>
      </w:r>
      <w:r w:rsidR="00C96BB9">
        <w:t>ust. 3</w:t>
      </w:r>
      <w:r w:rsidR="00ED1BF2">
        <w:t>,</w:t>
      </w:r>
    </w:p>
    <w:p w:rsidR="00ED1BF2" w:rsidRDefault="00ED1BF2" w:rsidP="003C4EC5">
      <w:pPr>
        <w:pStyle w:val="LITlitera"/>
      </w:pPr>
      <w:r>
        <w:t xml:space="preserve">d) w ust. 4 </w:t>
      </w:r>
      <w:r w:rsidRPr="00ED1BF2">
        <w:t>wyrazy „Kodeksu postępowania administracyjnego” zastępuje się wyrazami „ustawy z dnia 14 czerwca 1960 r. – Kodeks postepowania administracyjnego (Dz. U</w:t>
      </w:r>
      <w:r w:rsidR="00A33C5F">
        <w:t xml:space="preserve">. z 2016 r. poz. 23, 868, 966, </w:t>
      </w:r>
      <w:r w:rsidRPr="00ED1BF2">
        <w:t>1579</w:t>
      </w:r>
      <w:r w:rsidR="00A33C5F">
        <w:t xml:space="preserve"> i 2138</w:t>
      </w:r>
      <w:r w:rsidRPr="00ED1BF2">
        <w:t>)</w:t>
      </w:r>
      <w:r w:rsidR="009342E0" w:rsidRPr="009342E0">
        <w:t>”</w:t>
      </w:r>
      <w:r w:rsidR="009342E0">
        <w:t>;</w:t>
      </w:r>
    </w:p>
    <w:p w:rsidR="00CF2DF8" w:rsidRPr="00CF2DF8" w:rsidRDefault="00CF2DF8" w:rsidP="00CF2DF8">
      <w:pPr>
        <w:pStyle w:val="PKTpunkt"/>
        <w:keepNext/>
      </w:pPr>
      <w:r w:rsidRPr="00CF2DF8">
        <w:t>2)</w:t>
      </w:r>
      <w:r w:rsidRPr="00CF2DF8">
        <w:tab/>
        <w:t>po art. 18 dodaje się art. 18a–18d w brzmieniu:</w:t>
      </w:r>
    </w:p>
    <w:p w:rsidR="00CF2DF8" w:rsidRPr="00CF2DF8" w:rsidRDefault="00CF2DF8" w:rsidP="00CF2DF8">
      <w:pPr>
        <w:pStyle w:val="ZARTzmartartykuempunktem"/>
      </w:pPr>
      <w:r w:rsidRPr="00CF2DF8">
        <w:t>„Art. 18a. 1. W skład Komisji wchodzi 6 członków, w tym przewodniczący.</w:t>
      </w:r>
    </w:p>
    <w:p w:rsidR="00CF2DF8" w:rsidRPr="00CF2DF8" w:rsidRDefault="00CF2DF8" w:rsidP="00CF2DF8">
      <w:pPr>
        <w:pStyle w:val="ZUSTzmustartykuempunktem"/>
      </w:pPr>
      <w:r w:rsidRPr="00CF2DF8">
        <w:t>2. Członków Komisji powołuje i odwołuje minister właściwy do spraw administracji publicznej.</w:t>
      </w:r>
    </w:p>
    <w:p w:rsidR="00CF2DF8" w:rsidRPr="00CF2DF8" w:rsidRDefault="00CF2DF8" w:rsidP="00CF2DF8">
      <w:pPr>
        <w:pStyle w:val="ZUSTzmustartykuempunktem"/>
      </w:pPr>
      <w:r w:rsidRPr="00CF2DF8">
        <w:t>3. Minister właściwy do spraw administracji publicznej spośród członków Komisji wyznacza jej przewodniczącego.</w:t>
      </w:r>
    </w:p>
    <w:p w:rsidR="00CF2DF8" w:rsidRPr="00CF2DF8" w:rsidRDefault="00CF2DF8" w:rsidP="00CF2DF8">
      <w:pPr>
        <w:pStyle w:val="ZUSTzmustartykuempunktem"/>
        <w:keepNext/>
      </w:pPr>
      <w:r w:rsidRPr="00CF2DF8">
        <w:t>4. W skład Komisji może zostać powołana osoba, która:</w:t>
      </w:r>
    </w:p>
    <w:p w:rsidR="00CF2DF8" w:rsidRPr="00CF2DF8" w:rsidRDefault="00CF2DF8" w:rsidP="00CF2DF8">
      <w:pPr>
        <w:pStyle w:val="ZPKTzmpktartykuempunktem"/>
      </w:pPr>
      <w:r w:rsidRPr="00CF2DF8">
        <w:t>1)</w:t>
      </w:r>
      <w:r w:rsidRPr="00CF2DF8">
        <w:tab/>
      </w:r>
      <w:r w:rsidR="009342E0" w:rsidRPr="009342E0">
        <w:t>ukończyła wyższe studia prawnicze w Rzeczypospolitej Polskiej lub zagraniczne studia prawnicze uznane w Rzeczypospolitej Polskiej i uzyskała tytuł magistra lub równorzędny</w:t>
      </w:r>
      <w:r w:rsidRPr="00CF2DF8">
        <w:t>,</w:t>
      </w:r>
    </w:p>
    <w:p w:rsidR="00CF2DF8" w:rsidRPr="00CF2DF8" w:rsidRDefault="00CF2DF8" w:rsidP="00CF2DF8">
      <w:pPr>
        <w:pStyle w:val="ZPKTzmpktartykuempunktem"/>
      </w:pPr>
      <w:r w:rsidRPr="00CF2DF8">
        <w:t>2)</w:t>
      </w:r>
      <w:r w:rsidRPr="00CF2DF8">
        <w:tab/>
        <w:t>posiada wiedzę z zakresu administracji,</w:t>
      </w:r>
    </w:p>
    <w:p w:rsidR="00CF2DF8" w:rsidRPr="00CF2DF8" w:rsidRDefault="00CF2DF8" w:rsidP="00CF2DF8">
      <w:pPr>
        <w:pStyle w:val="ZPKTzmpktartykuempunktem"/>
      </w:pPr>
      <w:r w:rsidRPr="00CF2DF8">
        <w:lastRenderedPageBreak/>
        <w:t>3)</w:t>
      </w:r>
      <w:r w:rsidRPr="00CF2DF8">
        <w:tab/>
        <w:t>posiada co najmniej 5-letni okres zatrudnienia w jednostkach sektora finansów publicznych,</w:t>
      </w:r>
    </w:p>
    <w:p w:rsidR="00CF2DF8" w:rsidRPr="00CF2DF8" w:rsidRDefault="00CF2DF8" w:rsidP="00CF2DF8">
      <w:pPr>
        <w:pStyle w:val="ZPKTzmpktartykuempunktem"/>
      </w:pPr>
      <w:r w:rsidRPr="00CF2DF8">
        <w:t>4)</w:t>
      </w:r>
      <w:r w:rsidRPr="00CF2DF8">
        <w:tab/>
        <w:t>daje rękojmię prawidłowej realizacji zadań Komisji.</w:t>
      </w:r>
    </w:p>
    <w:p w:rsidR="00CF2DF8" w:rsidRPr="00CF2DF8" w:rsidRDefault="00CF2DF8" w:rsidP="00CF2DF8">
      <w:pPr>
        <w:pStyle w:val="ZARTzmartartykuempunktem"/>
      </w:pPr>
      <w:r w:rsidRPr="00CF2DF8">
        <w:t>Art. 18b. 1. Komisja wydaje decyzje w składach trzyosobowych.</w:t>
      </w:r>
    </w:p>
    <w:p w:rsidR="00CF2DF8" w:rsidRPr="00CF2DF8" w:rsidRDefault="00CF2DF8" w:rsidP="00CF2DF8">
      <w:pPr>
        <w:pStyle w:val="ZUSTzmustartykuempunktem"/>
      </w:pPr>
      <w:r w:rsidRPr="00CF2DF8">
        <w:t>2. Przewodniczący Komisji, odrębnie do każdej sprawy, wyznacza skład orzekający, zwany dalej „składem”, oraz jego przewodniczącego.</w:t>
      </w:r>
    </w:p>
    <w:p w:rsidR="00CF2DF8" w:rsidRPr="00CF2DF8" w:rsidRDefault="00CF2DF8" w:rsidP="00CF2DF8">
      <w:pPr>
        <w:pStyle w:val="ZUSTzmustartykuempunktem"/>
      </w:pPr>
      <w:r w:rsidRPr="00CF2DF8">
        <w:t>3. Decyzje składu zapadają większością głosów. Członek składu może złożyć zdanie odrębne, które wraz z uzasadnieniem dołącza się do akt sprawy.</w:t>
      </w:r>
    </w:p>
    <w:p w:rsidR="00CF2DF8" w:rsidRPr="00CF2DF8" w:rsidRDefault="00CF2DF8" w:rsidP="00CF2DF8">
      <w:pPr>
        <w:pStyle w:val="ZUSTzmustartykuempunktem"/>
      </w:pPr>
      <w:r w:rsidRPr="00CF2DF8">
        <w:t>4. Decyzje podpisują przewodniczący i członkowie składu.</w:t>
      </w:r>
    </w:p>
    <w:p w:rsidR="00CF2DF8" w:rsidRPr="00CF2DF8" w:rsidRDefault="00CF2DF8" w:rsidP="00CF2DF8">
      <w:pPr>
        <w:pStyle w:val="ZUSTzmustartykuempunktem"/>
      </w:pPr>
      <w:r w:rsidRPr="00CF2DF8">
        <w:t>5. Uzasadnienie decyzji sporządza przewodniczący składu.</w:t>
      </w:r>
    </w:p>
    <w:p w:rsidR="00CF2DF8" w:rsidRPr="00CF2DF8" w:rsidRDefault="00CF2DF8" w:rsidP="00CF2DF8">
      <w:pPr>
        <w:pStyle w:val="ZUSTzmustartykuempunktem"/>
      </w:pPr>
      <w:r w:rsidRPr="00CF2DF8">
        <w:t xml:space="preserve">6. W przypadku niemożności wydania </w:t>
      </w:r>
      <w:r w:rsidR="009342E0">
        <w:t>decyzji</w:t>
      </w:r>
      <w:r w:rsidRPr="00CF2DF8">
        <w:t xml:space="preserve"> przez Komisję z przyczyn, o których mowa w art. 24 § 1 w związku z art. 27 § 1 ustawy z dnia 14 czerwca 1960 r. – Kodeks postępowania administracyjnego, w danej sprawie </w:t>
      </w:r>
      <w:r w:rsidR="009342E0">
        <w:t>decyzję wydaje</w:t>
      </w:r>
      <w:r w:rsidRPr="00CF2DF8">
        <w:t xml:space="preserve"> minister właściwy do spraw administracji publicznej.</w:t>
      </w:r>
    </w:p>
    <w:p w:rsidR="00CF2DF8" w:rsidRPr="00CF2DF8" w:rsidRDefault="00CF2DF8" w:rsidP="00CF2DF8">
      <w:pPr>
        <w:pStyle w:val="ZARTzmartartykuempunktem"/>
      </w:pPr>
      <w:r w:rsidRPr="00CF2DF8">
        <w:t>Art. 18c. 1. Członkowie Komisji otrzymują zryczałtowane wynagrodzenie miesięczne.</w:t>
      </w:r>
    </w:p>
    <w:p w:rsidR="00CF2DF8" w:rsidRPr="00CF2DF8" w:rsidRDefault="00CF2DF8" w:rsidP="00CF2DF8">
      <w:pPr>
        <w:pStyle w:val="ZUSTzmustartykuempunktem"/>
      </w:pPr>
      <w:r w:rsidRPr="00CF2DF8">
        <w:t>2. Minister właściwy do spraw administracji publicznej określi, w drodze rozporządzenia, wysokość wynagrodzenia przewodniczącego oraz pozostałych członków Komisji, mając na względzie zakres obowiązków oraz złożoność realizowanych przez nich zadań.</w:t>
      </w:r>
    </w:p>
    <w:p w:rsidR="00CF2DF8" w:rsidRPr="00CF2DF8" w:rsidRDefault="00CF2DF8" w:rsidP="00CF2DF8">
      <w:pPr>
        <w:pStyle w:val="ZUSTzmustartykuempunktem"/>
      </w:pPr>
      <w:r w:rsidRPr="00CF2DF8">
        <w:t>3. Obsługę organizacyjną Komisji zapewnia urząd obsługujący ministra właściwego do spraw administracji publicznej.</w:t>
      </w:r>
    </w:p>
    <w:p w:rsidR="00CF2DF8" w:rsidRPr="00CF2DF8" w:rsidRDefault="00CF2DF8" w:rsidP="00CF2DF8">
      <w:pPr>
        <w:pStyle w:val="ZUSTzmustartykuempunktem"/>
      </w:pPr>
      <w:r w:rsidRPr="00CF2DF8">
        <w:t>4. Za udział w pracach Komisji i jej składów członkom Komisji przysługują diety i inne należności określone w przepisach w sprawie należności przysługujących pracownikowi zatrudnionemu w państwowej lub samorządowej jednostce sfery budżetowej z tytułu podróży służbowej na obszarze kraju.</w:t>
      </w:r>
    </w:p>
    <w:p w:rsidR="00CF2DF8" w:rsidRPr="00CF2DF8" w:rsidRDefault="00CF2DF8" w:rsidP="00CF2DF8">
      <w:pPr>
        <w:pStyle w:val="ZUSTzmustartykuempunktem"/>
      </w:pPr>
      <w:r w:rsidRPr="00CF2DF8">
        <w:t>5. Koszty wynagrodzeń członków Komisji, koszty obsługi organizacyjnej Komisji oraz zwrot kosztów i diet, o których mowa w ust. 4, są pokrywane z budżetu państwa, z części, której dysponentem jest minister właściwy do spraw administracji publicznej.</w:t>
      </w:r>
    </w:p>
    <w:p w:rsidR="00CF2DF8" w:rsidRPr="00CF2DF8" w:rsidRDefault="00CF2DF8" w:rsidP="00CF2DF8">
      <w:pPr>
        <w:pStyle w:val="ZARTzmartartykuempunktem"/>
      </w:pPr>
      <w:r w:rsidRPr="00CF2DF8">
        <w:t xml:space="preserve">Art. 18d. 1. </w:t>
      </w:r>
      <w:r w:rsidR="00A55845" w:rsidRPr="00A55845">
        <w:t xml:space="preserve">Członkowie Komisji są obowiązani do złożenia oświadczenia o swoim stanie majątkowym na zasadach określonych </w:t>
      </w:r>
      <w:r w:rsidRPr="00CF2DF8">
        <w:t xml:space="preserve">w ustawie z dnia 21 sierpnia </w:t>
      </w:r>
      <w:r w:rsidRPr="00CF2DF8">
        <w:lastRenderedPageBreak/>
        <w:t>1997 r. o ograniczeniu prowadzenia działalności gospodarczej przez osoby pełniące funkcje publiczne (Dz. U. z 2006 r. poz. 1584, z późn. zm.</w:t>
      </w:r>
      <w:r w:rsidRPr="00CF2DF8">
        <w:rPr>
          <w:rStyle w:val="IGindeksgrny"/>
        </w:rPr>
        <w:footnoteReference w:id="2"/>
      </w:r>
      <w:r w:rsidRPr="00CF2DF8">
        <w:rPr>
          <w:rStyle w:val="IGindeksgrny"/>
        </w:rPr>
        <w:t>)</w:t>
      </w:r>
      <w:r w:rsidRPr="00CF2DF8">
        <w:t>).</w:t>
      </w:r>
    </w:p>
    <w:p w:rsidR="00CF2DF8" w:rsidRPr="00CF2DF8" w:rsidRDefault="00CF2DF8" w:rsidP="00CF2DF8">
      <w:pPr>
        <w:pStyle w:val="ZUSTzmustartykuempunktem"/>
      </w:pPr>
      <w:r w:rsidRPr="00CF2DF8">
        <w:t>2. Członkowie Komisji składają oświadczenie o stanie majątkowym ministrowi właściwemu do spraw administracji publicznej, który dokonuje analizy zawartych w nim danych.”.</w:t>
      </w:r>
    </w:p>
    <w:p w:rsidR="00CF2DF8" w:rsidRPr="00CF2DF8" w:rsidRDefault="00CF2DF8" w:rsidP="00CF2DF8">
      <w:pPr>
        <w:pStyle w:val="ARTartustawynprozporzdzenia"/>
      </w:pPr>
      <w:r w:rsidRPr="00CF2DF8">
        <w:rPr>
          <w:rStyle w:val="Ppogrubienie"/>
        </w:rPr>
        <w:t>Art. 2.</w:t>
      </w:r>
      <w:r w:rsidRPr="00CF2DF8">
        <w:t xml:space="preserve"> Przewodniczący oraz członkowie </w:t>
      </w:r>
      <w:r w:rsidR="00A55845">
        <w:t xml:space="preserve">Krajowej </w:t>
      </w:r>
      <w:r w:rsidRPr="00CF2DF8">
        <w:t>Komisji</w:t>
      </w:r>
      <w:r w:rsidR="00A55845">
        <w:t xml:space="preserve"> Uwłaszczeniowej </w:t>
      </w:r>
      <w:r w:rsidRPr="00CF2DF8">
        <w:t xml:space="preserve">powołani na podstawie art. 18 ust. 3 ustawy zmienianej w art. 1 w brzmieniu dotychczasowym wykonują swoje zadania do czasu powołania przewodniczącego i członków </w:t>
      </w:r>
      <w:r w:rsidR="00061DF5" w:rsidRPr="00061DF5">
        <w:t>Krajowej Komisji Uwłaszczeniowej</w:t>
      </w:r>
      <w:r w:rsidRPr="00CF2DF8">
        <w:t xml:space="preserve"> na podstawie art. 18a ust. 2 i 3 ustawy zmienianej w art. 1 w brzmieniu nadanym niniejszą ustawą.</w:t>
      </w:r>
    </w:p>
    <w:p w:rsidR="00CF2DF8" w:rsidRPr="00CF2DF8" w:rsidRDefault="00CF2DF8" w:rsidP="00CF2DF8">
      <w:pPr>
        <w:pStyle w:val="ARTartustawynprozporzdzenia"/>
        <w:keepNext/>
      </w:pPr>
      <w:r w:rsidRPr="00CF2DF8">
        <w:rPr>
          <w:rStyle w:val="Ppogrubienie"/>
        </w:rPr>
        <w:t>Art. 3.</w:t>
      </w:r>
      <w:r w:rsidRPr="00CF2DF8">
        <w:t> 1. Limit wydatków budżetu państwa na okres 10 lat wykonywania niniejszej ustawy wynosi:</w:t>
      </w:r>
    </w:p>
    <w:p w:rsidR="00CF2DF8" w:rsidRPr="00CF2DF8" w:rsidRDefault="00CF2DF8" w:rsidP="00CF2DF8">
      <w:pPr>
        <w:pStyle w:val="PKTpunkt"/>
      </w:pPr>
      <w:r w:rsidRPr="00CF2DF8">
        <w:t>1)</w:t>
      </w:r>
      <w:r w:rsidRPr="00CF2DF8">
        <w:tab/>
        <w:t>w roku 2017 – 147 516 zł;</w:t>
      </w:r>
    </w:p>
    <w:p w:rsidR="00CF2DF8" w:rsidRPr="00CF2DF8" w:rsidRDefault="00CF2DF8" w:rsidP="00CF2DF8">
      <w:pPr>
        <w:pStyle w:val="PKTpunkt"/>
      </w:pPr>
      <w:r w:rsidRPr="00CF2DF8">
        <w:t>2)</w:t>
      </w:r>
      <w:r w:rsidRPr="00CF2DF8">
        <w:tab/>
        <w:t>w roku 2018 – 147 516 zł;</w:t>
      </w:r>
    </w:p>
    <w:p w:rsidR="00CF2DF8" w:rsidRPr="00CF2DF8" w:rsidRDefault="00CF2DF8" w:rsidP="00CF2DF8">
      <w:pPr>
        <w:pStyle w:val="PKTpunkt"/>
      </w:pPr>
      <w:r w:rsidRPr="00CF2DF8">
        <w:t>3)</w:t>
      </w:r>
      <w:r w:rsidRPr="00CF2DF8">
        <w:tab/>
        <w:t>w roku 2019 – 147 516 zł;</w:t>
      </w:r>
    </w:p>
    <w:p w:rsidR="00CF2DF8" w:rsidRPr="00CF2DF8" w:rsidRDefault="00CF2DF8" w:rsidP="00CF2DF8">
      <w:pPr>
        <w:pStyle w:val="PKTpunkt"/>
      </w:pPr>
      <w:r w:rsidRPr="00CF2DF8">
        <w:t>4)</w:t>
      </w:r>
      <w:r w:rsidRPr="00CF2DF8">
        <w:tab/>
        <w:t>w roku 2020 – 147 516 zł;</w:t>
      </w:r>
    </w:p>
    <w:p w:rsidR="00CF2DF8" w:rsidRPr="00CF2DF8" w:rsidRDefault="00CF2DF8" w:rsidP="00CF2DF8">
      <w:pPr>
        <w:pStyle w:val="PKTpunkt"/>
      </w:pPr>
      <w:r w:rsidRPr="00CF2DF8">
        <w:t>5)</w:t>
      </w:r>
      <w:r w:rsidRPr="00CF2DF8">
        <w:tab/>
        <w:t>w roku 2021 – 147 516 zł;</w:t>
      </w:r>
    </w:p>
    <w:p w:rsidR="00CF2DF8" w:rsidRPr="00CF2DF8" w:rsidRDefault="00CF2DF8" w:rsidP="00CF2DF8">
      <w:pPr>
        <w:pStyle w:val="PKTpunkt"/>
      </w:pPr>
      <w:r w:rsidRPr="00CF2DF8">
        <w:t>6)</w:t>
      </w:r>
      <w:r w:rsidRPr="00CF2DF8">
        <w:tab/>
        <w:t>w roku 2022 – 147 516 zł;</w:t>
      </w:r>
    </w:p>
    <w:p w:rsidR="00CF2DF8" w:rsidRPr="00CF2DF8" w:rsidRDefault="00CF2DF8" w:rsidP="00CF2DF8">
      <w:pPr>
        <w:pStyle w:val="PKTpunkt"/>
      </w:pPr>
      <w:r w:rsidRPr="00CF2DF8">
        <w:t>7)</w:t>
      </w:r>
      <w:r w:rsidRPr="00CF2DF8">
        <w:tab/>
        <w:t>w roku 2023 – 147 516 zł;</w:t>
      </w:r>
    </w:p>
    <w:p w:rsidR="00CF2DF8" w:rsidRPr="00CF2DF8" w:rsidRDefault="00CF2DF8" w:rsidP="00CF2DF8">
      <w:pPr>
        <w:pStyle w:val="PKTpunkt"/>
      </w:pPr>
      <w:r w:rsidRPr="00CF2DF8">
        <w:t>8)</w:t>
      </w:r>
      <w:r w:rsidRPr="00CF2DF8">
        <w:tab/>
        <w:t>w roku 2024 – 147 516 zł;</w:t>
      </w:r>
    </w:p>
    <w:p w:rsidR="00CF2DF8" w:rsidRPr="00CF2DF8" w:rsidRDefault="00CF2DF8" w:rsidP="00CF2DF8">
      <w:pPr>
        <w:pStyle w:val="PKTpunkt"/>
      </w:pPr>
      <w:r w:rsidRPr="00CF2DF8">
        <w:t>9)</w:t>
      </w:r>
      <w:r w:rsidRPr="00CF2DF8">
        <w:tab/>
        <w:t>w roku 2025 – 147 516 zł;</w:t>
      </w:r>
    </w:p>
    <w:p w:rsidR="00CF2DF8" w:rsidRPr="00CF2DF8" w:rsidRDefault="00CF2DF8" w:rsidP="00CF2DF8">
      <w:pPr>
        <w:pStyle w:val="PKTpunkt"/>
      </w:pPr>
      <w:r w:rsidRPr="00CF2DF8">
        <w:t>10)</w:t>
      </w:r>
      <w:r w:rsidRPr="00CF2DF8">
        <w:tab/>
        <w:t>w roku 2026 – 147 516 zł.</w:t>
      </w:r>
    </w:p>
    <w:p w:rsidR="00CF2DF8" w:rsidRPr="00CF2DF8" w:rsidRDefault="00CF2DF8" w:rsidP="00CF2DF8">
      <w:pPr>
        <w:pStyle w:val="USTustnpkodeksu"/>
      </w:pPr>
      <w:r w:rsidRPr="00CF2DF8">
        <w:t>2. Organem monitorującym wykorzystanie limitów wydatków określonych w ust. 1 jest minister właściwy do spraw administracji publicznej.</w:t>
      </w:r>
    </w:p>
    <w:p w:rsidR="00CF2DF8" w:rsidRPr="00CF2DF8" w:rsidRDefault="00CF2DF8" w:rsidP="00CF2DF8">
      <w:pPr>
        <w:pStyle w:val="USTustnpkodeksu"/>
      </w:pPr>
      <w:r w:rsidRPr="00CF2DF8">
        <w:t>3. W przypadku przekroczenia lub zagrożenia przekroczenia przyjętego na dany rok budżetowy limitu wydatków określonego w ust. 1 stosuje się mechanizm korygujący polegający na zmniejszeniu, nie więcej jednak niż o 50%, miesięcznego wynagrodzenia ryczałtowego, o którym mowa w art. 18c ust. 1 ustawy zmienianej w art. 1, w brzmieniu nadanym niniejszą ustawą.</w:t>
      </w:r>
    </w:p>
    <w:p w:rsidR="00CF2DF8" w:rsidRPr="00CF2DF8" w:rsidRDefault="00CF2DF8" w:rsidP="00CF2DF8">
      <w:pPr>
        <w:pStyle w:val="USTustnpkodeksu"/>
      </w:pPr>
      <w:r w:rsidRPr="00CF2DF8">
        <w:t>4. Organem odpowiedzialnym za wdrożenie mechanizmu korygującego, o którym mowa w ust. 3, jest minister właściwy do spraw administracji publicznej.</w:t>
      </w:r>
    </w:p>
    <w:p w:rsidR="00CF2DF8" w:rsidRPr="00CF2DF8" w:rsidRDefault="00CF2DF8" w:rsidP="00CF2DF8">
      <w:pPr>
        <w:pStyle w:val="USTustnpkodeksu"/>
      </w:pPr>
      <w:r w:rsidRPr="00CF2DF8">
        <w:lastRenderedPageBreak/>
        <w:t xml:space="preserve">5. Minister właściwy do spraw administracji publicznej określi, w drodze rozporządzenia, wysokość zmniejszonych miesięcznych wynagrodzeń ryczałtowych przysługujących członkom </w:t>
      </w:r>
      <w:r w:rsidR="003C4EC5" w:rsidRPr="003C4EC5">
        <w:t>Krajowej Komisji Uwłaszczeniowej</w:t>
      </w:r>
      <w:r w:rsidRPr="00CF2DF8">
        <w:t xml:space="preserve"> oraz okres, w którym te wynagrodzenia przysługują w zmniejszonej wysokości, biorąc pod uwagę zapewnienie właściwego funkcjonowania tego organu.</w:t>
      </w:r>
    </w:p>
    <w:p w:rsidR="00CF2DF8" w:rsidRPr="00CF2DF8" w:rsidRDefault="00CF2DF8" w:rsidP="00CF2DF8">
      <w:pPr>
        <w:pStyle w:val="ARTartustawynprozporzdzenia"/>
      </w:pPr>
      <w:r w:rsidRPr="00CF2DF8">
        <w:rPr>
          <w:rStyle w:val="Ppogrubienie"/>
        </w:rPr>
        <w:t>Art. 4.</w:t>
      </w:r>
      <w:r w:rsidRPr="00CF2DF8">
        <w:t> Ustawa wchodzi w życie po upływie 14 dni od dnia ogłoszenia.</w:t>
      </w:r>
    </w:p>
    <w:p w:rsidR="005E31CC" w:rsidRDefault="005E31CC" w:rsidP="00251963">
      <w:pPr>
        <w:rPr>
          <w:rStyle w:val="Ppogrubienie"/>
          <w:b w:val="0"/>
        </w:rPr>
      </w:pPr>
    </w:p>
    <w:p w:rsidR="000C53FD" w:rsidRDefault="000C53FD" w:rsidP="00251963">
      <w:pPr>
        <w:rPr>
          <w:rStyle w:val="Ppogrubienie"/>
          <w:b w:val="0"/>
        </w:rPr>
      </w:pPr>
    </w:p>
    <w:p w:rsidR="000C53FD" w:rsidRDefault="000C53FD" w:rsidP="000C53FD">
      <w:pPr>
        <w:pStyle w:val="tekst"/>
        <w:tabs>
          <w:tab w:val="left" w:pos="5670"/>
          <w:tab w:val="center" w:pos="6804"/>
        </w:tabs>
      </w:pPr>
    </w:p>
    <w:p w:rsidR="000C53FD" w:rsidRDefault="000C53FD" w:rsidP="000C53FD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0C53FD" w:rsidRPr="00546BBA" w:rsidRDefault="000C53FD" w:rsidP="000C53FD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0C53FD" w:rsidRPr="00546BBA" w:rsidRDefault="000C53FD" w:rsidP="000C53FD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0C53FD" w:rsidRPr="00546BBA" w:rsidRDefault="000C53FD" w:rsidP="000C53FD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0C53FD" w:rsidRDefault="000C53FD" w:rsidP="000C53FD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0C53FD" w:rsidRDefault="000C53FD" w:rsidP="000C53FD">
      <w:pPr>
        <w:pStyle w:val="tekst"/>
        <w:tabs>
          <w:tab w:val="center" w:pos="6804"/>
        </w:tabs>
      </w:pPr>
    </w:p>
    <w:p w:rsidR="000C53FD" w:rsidRPr="00CF2DF8" w:rsidRDefault="000C53FD" w:rsidP="00251963">
      <w:pPr>
        <w:rPr>
          <w:rStyle w:val="Ppogrubienie"/>
          <w:b w:val="0"/>
        </w:rPr>
      </w:pPr>
    </w:p>
    <w:sectPr w:rsidR="000C53FD" w:rsidRPr="00CF2DF8" w:rsidSect="000C53FD">
      <w:headerReference w:type="default" r:id="rId10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CF2DF8" w:rsidRDefault="00CF2DF8" w:rsidP="00CF2DF8">
      <w:pPr>
        <w:pStyle w:val="ODNONIKtreodnonika"/>
      </w:pPr>
      <w:r w:rsidRPr="0023099E">
        <w:rPr>
          <w:rStyle w:val="IGindeksgrny"/>
        </w:rPr>
        <w:t>1)</w:t>
      </w:r>
      <w:r>
        <w:rPr>
          <w:rStyle w:val="IGindeksgrny"/>
        </w:rPr>
        <w:tab/>
      </w:r>
      <w:r>
        <w:t>Zmiany wymienionej ustawy zosta</w:t>
      </w:r>
      <w:r w:rsidRPr="00FF49B1">
        <w:t>ł</w:t>
      </w:r>
      <w:r>
        <w:t>y og</w:t>
      </w:r>
      <w:r w:rsidRPr="00FF49B1">
        <w:t>ł</w:t>
      </w:r>
      <w:r>
        <w:t>oszone w Dz. U. z 1990 r. poz. 253 i 541, z 1991 r. poz. 151, z 1992 r. poz. 20, z 1993 r. poz. 180, z 1994 r. poz. 3 i 285, z 1996 r. poz. 102 i 496, z 1997 r. poz. 43, z 2002 r. poz. 1271 oraz z 2004 r. poz. 1492.</w:t>
      </w:r>
    </w:p>
  </w:footnote>
  <w:footnote w:id="2">
    <w:p w:rsidR="00CF2DF8" w:rsidRDefault="00CF2DF8" w:rsidP="00CF2DF8">
      <w:pPr>
        <w:pStyle w:val="ODNONIKtreodnonika"/>
      </w:pPr>
      <w:r>
        <w:rPr>
          <w:rStyle w:val="IGindeksgrny"/>
        </w:rPr>
        <w:t>2</w:t>
      </w:r>
      <w:r w:rsidRPr="0023099E">
        <w:rPr>
          <w:rStyle w:val="IGindeksgrny"/>
        </w:rPr>
        <w:t>)</w:t>
      </w:r>
      <w:r>
        <w:rPr>
          <w:rStyle w:val="IGindeksgrny"/>
        </w:rPr>
        <w:tab/>
      </w:r>
      <w:r>
        <w:t>Zmiany tekstu jednolitego wymienionej ustawy zosta</w:t>
      </w:r>
      <w:r w:rsidRPr="00FF49B1">
        <w:t>ł</w:t>
      </w:r>
      <w:r>
        <w:t>y og</w:t>
      </w:r>
      <w:r w:rsidRPr="00FF49B1">
        <w:t>ł</w:t>
      </w:r>
      <w:r>
        <w:t>oszone w Dz. U. z 2008 r. poz. 1458, z 2009 r. poz. 1375, z 2010 r. poz. 1228, z 2015 r. poz.</w:t>
      </w:r>
      <w:r w:rsidR="009434A3">
        <w:t xml:space="preserve"> 1635 oraz z 2016 r. poz. 1202, </w:t>
      </w:r>
      <w:r w:rsidR="009434A3" w:rsidRPr="009434A3">
        <w:t>1948, 2074, 2103, 2260 i 2261</w:t>
      </w:r>
      <w:r w:rsidR="009434A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697500"/>
      <w:docPartObj>
        <w:docPartGallery w:val="Page Numbers (Top of Page)"/>
        <w:docPartUnique/>
      </w:docPartObj>
    </w:sdtPr>
    <w:sdtEndPr/>
    <w:sdtContent>
      <w:p w:rsidR="000C53FD" w:rsidRDefault="000C53F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D88">
          <w:rPr>
            <w:noProof/>
          </w:rPr>
          <w:t>4</w:t>
        </w:r>
        <w:r>
          <w:fldChar w:fldCharType="end"/>
        </w:r>
      </w:p>
    </w:sdtContent>
  </w:sdt>
  <w:p w:rsidR="00CC3E3D" w:rsidRPr="000C53FD" w:rsidRDefault="00CC3E3D" w:rsidP="000C53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1DF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53FD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88D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46F3"/>
    <w:rsid w:val="0032569A"/>
    <w:rsid w:val="00325A1F"/>
    <w:rsid w:val="003268F9"/>
    <w:rsid w:val="00330BAF"/>
    <w:rsid w:val="00334E3A"/>
    <w:rsid w:val="003361DD"/>
    <w:rsid w:val="00341A6A"/>
    <w:rsid w:val="00345B9C"/>
    <w:rsid w:val="003468DE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4EC5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01"/>
    <w:rsid w:val="004035BB"/>
    <w:rsid w:val="004035EB"/>
    <w:rsid w:val="00407332"/>
    <w:rsid w:val="00407828"/>
    <w:rsid w:val="00413D8E"/>
    <w:rsid w:val="004140F2"/>
    <w:rsid w:val="00416842"/>
    <w:rsid w:val="00416A8D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3422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2AC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472BC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5D88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25F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42E0"/>
    <w:rsid w:val="00937598"/>
    <w:rsid w:val="0093790B"/>
    <w:rsid w:val="009434A3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58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3C5F"/>
    <w:rsid w:val="00A37E70"/>
    <w:rsid w:val="00A437E1"/>
    <w:rsid w:val="00A4685E"/>
    <w:rsid w:val="00A50CD4"/>
    <w:rsid w:val="00A51191"/>
    <w:rsid w:val="00A55845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6ABF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EA1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96BB9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2DF8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1B6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682C"/>
    <w:rsid w:val="00EB06D9"/>
    <w:rsid w:val="00EB192B"/>
    <w:rsid w:val="00EB19ED"/>
    <w:rsid w:val="00EB1CAB"/>
    <w:rsid w:val="00EB2269"/>
    <w:rsid w:val="00EC0F5A"/>
    <w:rsid w:val="00EC4265"/>
    <w:rsid w:val="00EC4CEB"/>
    <w:rsid w:val="00EC659E"/>
    <w:rsid w:val="00ED1BF2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A57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39DC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0C53FD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0C53FD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0C53FD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0C53FD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0DAE65-E4A5-44A4-AA6E-0B9FCC31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813</Words>
  <Characters>4758</Characters>
  <Application>Microsoft Office Word</Application>
  <DocSecurity>4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2017-02-10T08:45:00Z</cp:lastPrinted>
  <dcterms:created xsi:type="dcterms:W3CDTF">2017-02-10T14:45:00Z</dcterms:created>
  <dcterms:modified xsi:type="dcterms:W3CDTF">2017-02-10T14:45:00Z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