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08" w:rsidRDefault="00516708" w:rsidP="00516708">
      <w:pPr>
        <w:pStyle w:val="tytu"/>
      </w:pPr>
      <w:bookmarkStart w:id="0" w:name="_GoBack"/>
      <w:bookmarkEnd w:id="0"/>
    </w:p>
    <w:p w:rsidR="00516708" w:rsidRDefault="00516708" w:rsidP="00406DC9">
      <w:pPr>
        <w:pStyle w:val="OZNRODZAKTUtznustawalubrozporzdzenieiorganwydajcy"/>
      </w:pPr>
    </w:p>
    <w:p w:rsidR="002C6873" w:rsidRDefault="002C6873" w:rsidP="00406DC9">
      <w:pPr>
        <w:pStyle w:val="OZNRODZAKTUtznustawalubrozporzdzenieiorganwydajcy"/>
      </w:pPr>
    </w:p>
    <w:p w:rsidR="002C6873" w:rsidRDefault="002C6873" w:rsidP="00406DC9">
      <w:pPr>
        <w:pStyle w:val="OZNRODZAKTUtznustawalubrozporzdzenieiorganwydajcy"/>
      </w:pPr>
    </w:p>
    <w:p w:rsidR="00397778" w:rsidRPr="00406DC9" w:rsidRDefault="001B1D66" w:rsidP="00406DC9">
      <w:pPr>
        <w:pStyle w:val="OZNRODZAKTUtznustawalubrozporzdzenieiorganwydajcy"/>
      </w:pPr>
      <w:r>
        <w:t>Usta</w:t>
      </w:r>
      <w:r w:rsidR="00397778" w:rsidRPr="00406DC9">
        <w:t>wa</w:t>
      </w:r>
    </w:p>
    <w:p w:rsidR="00397778" w:rsidRPr="00406DC9" w:rsidRDefault="00397778" w:rsidP="00406DC9">
      <w:pPr>
        <w:pStyle w:val="DATAAKTUdatauchwalenialubwydaniaaktu"/>
      </w:pPr>
      <w:r w:rsidRPr="00406DC9">
        <w:t xml:space="preserve">z dnia </w:t>
      </w:r>
      <w:r w:rsidR="001554C4">
        <w:t>1</w:t>
      </w:r>
      <w:r w:rsidR="004801DC">
        <w:t>6</w:t>
      </w:r>
      <w:r w:rsidR="001554C4">
        <w:t xml:space="preserve"> grudnia 2016 r.</w:t>
      </w:r>
    </w:p>
    <w:p w:rsidR="00406DC9" w:rsidRDefault="00397778" w:rsidP="00406DC9">
      <w:pPr>
        <w:pStyle w:val="TYTUAKTUprzedmiotregulacjiustawylubrozporzdzenia"/>
        <w:spacing w:before="0" w:after="0"/>
      </w:pPr>
      <w:r w:rsidRPr="00406DC9">
        <w:t>o zmianie ustawy o ochronie przyrody</w:t>
      </w:r>
      <w:r w:rsidR="00406DC9">
        <w:t xml:space="preserve"> </w:t>
      </w:r>
    </w:p>
    <w:p w:rsidR="00397778" w:rsidRDefault="00397778" w:rsidP="00406DC9">
      <w:pPr>
        <w:pStyle w:val="TYTUAKTUprzedmiotregulacjiustawylubrozporzdzenia"/>
        <w:spacing w:before="0" w:after="0"/>
      </w:pPr>
      <w:r w:rsidRPr="00406DC9">
        <w:t xml:space="preserve">oraz </w:t>
      </w:r>
      <w:r w:rsidR="002844C7">
        <w:t>ustawy o lasach</w:t>
      </w:r>
    </w:p>
    <w:p w:rsidR="00035854" w:rsidRPr="00035854" w:rsidRDefault="00035854" w:rsidP="00035854">
      <w:pPr>
        <w:pStyle w:val="ARTartustawynprozporzdzenia"/>
      </w:pPr>
    </w:p>
    <w:p w:rsidR="00397778" w:rsidRPr="00406DC9" w:rsidRDefault="00397778" w:rsidP="00406DC9">
      <w:pPr>
        <w:pStyle w:val="ARTartustawynprozporzdzenia"/>
        <w:keepNext/>
      </w:pPr>
      <w:r w:rsidRPr="00406DC9">
        <w:rPr>
          <w:rStyle w:val="Ppogrubienie"/>
        </w:rPr>
        <w:t>Art.</w:t>
      </w:r>
      <w:r w:rsidR="00406DC9" w:rsidRPr="00406DC9">
        <w:rPr>
          <w:rStyle w:val="Ppogrubienie"/>
        </w:rPr>
        <w:t> </w:t>
      </w:r>
      <w:r w:rsidRPr="00406DC9">
        <w:rPr>
          <w:rStyle w:val="Ppogrubienie"/>
        </w:rPr>
        <w:t>1.</w:t>
      </w:r>
      <w:r w:rsidR="00406DC9">
        <w:t> </w:t>
      </w:r>
      <w:r w:rsidRPr="00406DC9">
        <w:t xml:space="preserve">W ustawie z dnia 16 kwietnia 2004 r. o ochronie przyrody (Dz. U. z </w:t>
      </w:r>
      <w:r w:rsidR="00425F51" w:rsidRPr="00666A42">
        <w:rPr>
          <w:rFonts w:ascii="Times New Roman" w:hAnsi="Times New Roman" w:cs="Times New Roman"/>
          <w:szCs w:val="24"/>
        </w:rPr>
        <w:t>2015 r. poz. 1651, 1688 i 1936 oraz z 2016 r. poz. 422</w:t>
      </w:r>
      <w:r w:rsidRPr="00406DC9">
        <w:t>) wprowadza się następujące zmiany:</w:t>
      </w:r>
    </w:p>
    <w:p w:rsidR="00397778" w:rsidRPr="00406DC9" w:rsidRDefault="00397778" w:rsidP="00406DC9">
      <w:pPr>
        <w:pStyle w:val="PKTpunkt"/>
      </w:pPr>
      <w:r w:rsidRPr="00406DC9">
        <w:t>1)</w:t>
      </w:r>
      <w:r w:rsidR="00406DC9">
        <w:tab/>
      </w:r>
      <w:r w:rsidRPr="00406DC9">
        <w:t>w art. 83a:</w:t>
      </w:r>
    </w:p>
    <w:p w:rsidR="00397778" w:rsidRPr="00406DC9" w:rsidRDefault="00035854" w:rsidP="00035854">
      <w:pPr>
        <w:pStyle w:val="LITlitera"/>
      </w:pPr>
      <w:r>
        <w:t>a)</w:t>
      </w:r>
      <w:r>
        <w:tab/>
      </w:r>
      <w:r w:rsidR="00397778" w:rsidRPr="00406DC9">
        <w:t>uchyla się ust. 2,</w:t>
      </w:r>
    </w:p>
    <w:p w:rsidR="00397778" w:rsidRPr="00406DC9" w:rsidRDefault="00035854" w:rsidP="00035854">
      <w:pPr>
        <w:pStyle w:val="LITlitera"/>
        <w:keepNext/>
      </w:pPr>
      <w:r>
        <w:t>b)</w:t>
      </w:r>
      <w:r>
        <w:tab/>
      </w:r>
      <w:r w:rsidR="00397778" w:rsidRPr="00406DC9">
        <w:t>ust. 4 otrzymuje brzmienie:</w:t>
      </w:r>
    </w:p>
    <w:p w:rsidR="00397778" w:rsidRPr="00406DC9" w:rsidRDefault="00406DC9" w:rsidP="00035854">
      <w:pPr>
        <w:pStyle w:val="ZLITUSTzmustliter"/>
      </w:pPr>
      <w:r>
        <w:rPr>
          <w:rFonts w:ascii="Times New Roman" w:hAnsi="Times New Roman"/>
        </w:rPr>
        <w:t>„</w:t>
      </w:r>
      <w:r w:rsidR="00397778" w:rsidRPr="00406DC9">
        <w:t>4. Organ właściwy do wydania zezwolenia, o którym mowa w ust. 3, niezwłocznie przekazuje do uzgodnienia projekt zezwolenia wraz z aktami sprawy, w tym dokumentację fotograficzną drzewa lub krzewu.</w:t>
      </w:r>
      <w:r>
        <w:rPr>
          <w:rFonts w:ascii="Times New Roman" w:hAnsi="Times New Roman"/>
        </w:rPr>
        <w:t>”</w:t>
      </w:r>
      <w:r w:rsidR="00397778" w:rsidRPr="00406DC9">
        <w:t>,</w:t>
      </w:r>
    </w:p>
    <w:p w:rsidR="00397778" w:rsidRPr="00406DC9" w:rsidRDefault="00035854" w:rsidP="00035854">
      <w:pPr>
        <w:pStyle w:val="LITlitera"/>
        <w:keepNext/>
      </w:pPr>
      <w:r>
        <w:t>c)</w:t>
      </w:r>
      <w:r>
        <w:tab/>
      </w:r>
      <w:r w:rsidR="00397778" w:rsidRPr="00406DC9">
        <w:t>ust. 6 otrzymuje brzmienie:</w:t>
      </w:r>
    </w:p>
    <w:p w:rsidR="00397778" w:rsidRPr="00406DC9" w:rsidRDefault="00406DC9" w:rsidP="00035854">
      <w:pPr>
        <w:pStyle w:val="ZLITUSTzmustliter"/>
      </w:pPr>
      <w:r>
        <w:t>„</w:t>
      </w:r>
      <w:r w:rsidR="00397778" w:rsidRPr="00406DC9">
        <w:t>6. Niewyrażenie stanowiska w terminie 30 dni, a w przypadku przeprowadzenia pos</w:t>
      </w:r>
      <w:r w:rsidR="00E44520">
        <w:t>tępowania wyjaśniającego –</w:t>
      </w:r>
      <w:r w:rsidR="00397778" w:rsidRPr="00406DC9">
        <w:t xml:space="preserve"> 60 dni, od dnia otrzymania projektu zezwolenia, o którym mowa w ust. 3, przez organ, do którego zwrócono się o zajęcie stanowiska, uznaje się za uzgodnienie zezwolenia.</w:t>
      </w:r>
      <w:r>
        <w:t>”</w:t>
      </w:r>
      <w:r w:rsidR="00397778" w:rsidRPr="00406DC9">
        <w:t>;</w:t>
      </w:r>
    </w:p>
    <w:p w:rsidR="00397778" w:rsidRPr="00406DC9" w:rsidRDefault="00035854" w:rsidP="00035854">
      <w:pPr>
        <w:pStyle w:val="PKTpunkt"/>
      </w:pPr>
      <w:r>
        <w:t>2)</w:t>
      </w:r>
      <w:r>
        <w:tab/>
      </w:r>
      <w:r w:rsidR="00397778" w:rsidRPr="00406DC9">
        <w:t>w art. 83f:</w:t>
      </w:r>
    </w:p>
    <w:p w:rsidR="00397778" w:rsidRPr="00406DC9" w:rsidRDefault="00035854" w:rsidP="00035854">
      <w:pPr>
        <w:pStyle w:val="LITlitera"/>
      </w:pPr>
      <w:r>
        <w:t>a)</w:t>
      </w:r>
      <w:r>
        <w:tab/>
      </w:r>
      <w:r w:rsidR="00397778" w:rsidRPr="00406DC9">
        <w:t>w ust. 1:</w:t>
      </w:r>
    </w:p>
    <w:p w:rsidR="00397778" w:rsidRPr="00406DC9" w:rsidRDefault="00035854" w:rsidP="006C0DED">
      <w:pPr>
        <w:pStyle w:val="TIRtiret"/>
        <w:keepNext/>
      </w:pPr>
      <w:r>
        <w:t>–</w:t>
      </w:r>
      <w:r w:rsidR="00397778" w:rsidRPr="00406DC9">
        <w:t xml:space="preserve"> pkt 1 otrzymuje brzmienie:</w:t>
      </w:r>
    </w:p>
    <w:p w:rsidR="00397778" w:rsidRPr="00406DC9" w:rsidRDefault="00406DC9" w:rsidP="006C0DED">
      <w:pPr>
        <w:pStyle w:val="ZTIRPKTzmpkttiret"/>
      </w:pPr>
      <w:r>
        <w:t>„</w:t>
      </w:r>
      <w:r w:rsidR="006C0DED">
        <w:t>1)</w:t>
      </w:r>
      <w:r w:rsidR="006C0DED">
        <w:tab/>
      </w:r>
      <w:r w:rsidR="00397778" w:rsidRPr="00406DC9">
        <w:t>krzewu albo krzewów rosnących w skupisku, o powierzchni do 25</w:t>
      </w:r>
      <w:r w:rsidR="002844C7">
        <w:t xml:space="preserve"> </w:t>
      </w:r>
      <w:r w:rsidR="00397778" w:rsidRPr="00406DC9">
        <w:t>m</w:t>
      </w:r>
      <w:r w:rsidR="00397778" w:rsidRPr="002844C7">
        <w:rPr>
          <w:rStyle w:val="IGindeksgrny"/>
        </w:rPr>
        <w:t>2</w:t>
      </w:r>
      <w:r w:rsidR="009A17DF">
        <w:t>;</w:t>
      </w:r>
      <w:r w:rsidR="006C0DED">
        <w:t>”,</w:t>
      </w:r>
    </w:p>
    <w:p w:rsidR="00397778" w:rsidRPr="00406DC9" w:rsidRDefault="006C0DED" w:rsidP="006C0DED">
      <w:pPr>
        <w:pStyle w:val="TIRtiret"/>
        <w:keepNext/>
      </w:pPr>
      <w:r>
        <w:t>–</w:t>
      </w:r>
      <w:r w:rsidR="00397778" w:rsidRPr="00406DC9">
        <w:t xml:space="preserve"> pkt 3 otrzymuje brzmienie:</w:t>
      </w:r>
    </w:p>
    <w:p w:rsidR="00397778" w:rsidRPr="00406DC9" w:rsidRDefault="006C0DED" w:rsidP="006C0DED">
      <w:pPr>
        <w:pStyle w:val="ZTIRPKTzmpkttiret"/>
        <w:keepNext/>
      </w:pPr>
      <w:r>
        <w:t>„</w:t>
      </w:r>
      <w:r w:rsidR="00397778" w:rsidRPr="00406DC9">
        <w:t>3)</w:t>
      </w:r>
      <w:r w:rsidR="00406DC9">
        <w:tab/>
      </w:r>
      <w:r w:rsidR="00397778" w:rsidRPr="00406DC9">
        <w:t>drzew, których obwód pnia na wysokości 130 cm nie przekracza:</w:t>
      </w:r>
    </w:p>
    <w:p w:rsidR="00397778" w:rsidRPr="00406DC9" w:rsidRDefault="00397778" w:rsidP="006C0DED">
      <w:pPr>
        <w:pStyle w:val="ZTIRLITwPKTzmlitwpkttiret"/>
      </w:pPr>
      <w:r w:rsidRPr="00406DC9">
        <w:t>a)</w:t>
      </w:r>
      <w:r w:rsidR="00406DC9">
        <w:tab/>
      </w:r>
      <w:r w:rsidR="00E44520">
        <w:t>100 cm –</w:t>
      </w:r>
      <w:r w:rsidRPr="00406DC9">
        <w:t xml:space="preserve"> w przypadku topoli, wierzb, kasztanowca zwyczajnego, klonu jesionolistnego, klonu srebrzystego, robinii akacjowej oraz platanu </w:t>
      </w:r>
      <w:proofErr w:type="spellStart"/>
      <w:r w:rsidRPr="00406DC9">
        <w:t>klonolistnego</w:t>
      </w:r>
      <w:proofErr w:type="spellEnd"/>
      <w:r w:rsidRPr="00406DC9">
        <w:t>,</w:t>
      </w:r>
    </w:p>
    <w:p w:rsidR="00397778" w:rsidRPr="00406DC9" w:rsidRDefault="006C0DED" w:rsidP="006C0DED">
      <w:pPr>
        <w:pStyle w:val="ZTIRLITwPKTzmlitwpkttiret"/>
      </w:pPr>
      <w:r>
        <w:t>b)</w:t>
      </w:r>
      <w:r>
        <w:tab/>
      </w:r>
      <w:r w:rsidR="00E44520">
        <w:t>50 cm –</w:t>
      </w:r>
      <w:r w:rsidR="00397778" w:rsidRPr="00406DC9">
        <w:t xml:space="preserve"> w przypadku pozostałych gatunków drzew;</w:t>
      </w:r>
      <w:r>
        <w:t>”,</w:t>
      </w:r>
    </w:p>
    <w:p w:rsidR="00397778" w:rsidRPr="00406DC9" w:rsidRDefault="006C0DED" w:rsidP="006C0DED">
      <w:pPr>
        <w:pStyle w:val="TIRtiret"/>
        <w:keepNext/>
      </w:pPr>
      <w:r>
        <w:lastRenderedPageBreak/>
        <w:t>–</w:t>
      </w:r>
      <w:r w:rsidR="00E44520">
        <w:t xml:space="preserve"> po pkt 3 dodaje się pkt 3a</w:t>
      </w:r>
      <w:r w:rsidR="002844C7">
        <w:t xml:space="preserve"> i </w:t>
      </w:r>
      <w:r w:rsidR="00397778" w:rsidRPr="00406DC9">
        <w:t>3b w brzmieniu:</w:t>
      </w:r>
    </w:p>
    <w:p w:rsidR="00397778" w:rsidRPr="00406DC9" w:rsidRDefault="00406DC9" w:rsidP="006C0DED">
      <w:pPr>
        <w:pStyle w:val="ZTIRPKTzmpkttiret"/>
      </w:pPr>
      <w:r>
        <w:t>„</w:t>
      </w:r>
      <w:r w:rsidR="006C0DED">
        <w:t>3a)</w:t>
      </w:r>
      <w:r w:rsidR="006C0DED">
        <w:tab/>
      </w:r>
      <w:r w:rsidR="00397778" w:rsidRPr="00406DC9">
        <w:t>drzew lub krzewów, które rosną na nieruchomościach stanowiących własność osób fizycznych i są usuwane na cele niezwiązane z prowadzeniem działalności gospodarczej;</w:t>
      </w:r>
    </w:p>
    <w:p w:rsidR="00397778" w:rsidRPr="00406DC9" w:rsidRDefault="006C0DED" w:rsidP="006C0DED">
      <w:pPr>
        <w:pStyle w:val="ZTIRPKTzmpkttiret"/>
      </w:pPr>
      <w:r>
        <w:t>3b)</w:t>
      </w:r>
      <w:r>
        <w:tab/>
      </w:r>
      <w:r w:rsidR="00397778" w:rsidRPr="00406DC9">
        <w:t>drzew lub krzewów usuwanych w celu przywrócenia gruntów nieużytkowanych do użytkowania rolniczego;</w:t>
      </w:r>
      <w:r w:rsidR="00406DC9">
        <w:t>”</w:t>
      </w:r>
      <w:r>
        <w:t>,</w:t>
      </w:r>
    </w:p>
    <w:p w:rsidR="00397778" w:rsidRPr="00406DC9" w:rsidRDefault="00397778" w:rsidP="006C0DED">
      <w:pPr>
        <w:pStyle w:val="LITlitera"/>
        <w:keepNext/>
      </w:pPr>
      <w:r w:rsidRPr="00406DC9">
        <w:t>b)</w:t>
      </w:r>
      <w:r w:rsidR="00406DC9">
        <w:tab/>
      </w:r>
      <w:r w:rsidR="00E44520">
        <w:t>po ust. 1 dodaje się ust. 1a</w:t>
      </w:r>
      <w:r w:rsidR="002844C7">
        <w:t xml:space="preserve"> i </w:t>
      </w:r>
      <w:r w:rsidRPr="00406DC9">
        <w:t>1b w brzmieniu:</w:t>
      </w:r>
    </w:p>
    <w:p w:rsidR="00397778" w:rsidRPr="00406DC9" w:rsidRDefault="00406DC9" w:rsidP="002532D5">
      <w:pPr>
        <w:pStyle w:val="ZLITUSTzmustliter"/>
        <w:keepNext/>
      </w:pPr>
      <w:r>
        <w:t>„</w:t>
      </w:r>
      <w:r w:rsidR="00397778" w:rsidRPr="00406DC9">
        <w:t>1a.</w:t>
      </w:r>
      <w:r>
        <w:t> </w:t>
      </w:r>
      <w:r w:rsidR="00397778" w:rsidRPr="00406DC9">
        <w:t>Rada gminy, w drodze uchwały stanowiącej akt prawa miejscowego, może określić, że przepisów art. 83 ust. 1 nie stosuje się także do innych drzew lub krzewów wskazanych w oparciu o następujące kryteria:</w:t>
      </w:r>
    </w:p>
    <w:p w:rsidR="00397778" w:rsidRPr="00406DC9" w:rsidRDefault="006C0DED" w:rsidP="002532D5">
      <w:pPr>
        <w:pStyle w:val="ZLITPKTzmpktliter"/>
      </w:pPr>
      <w:r>
        <w:t>1)</w:t>
      </w:r>
      <w:r>
        <w:tab/>
      </w:r>
      <w:r w:rsidR="00397778" w:rsidRPr="00406DC9">
        <w:t>gatunek drzewa lub krzewu, lub</w:t>
      </w:r>
    </w:p>
    <w:p w:rsidR="00397778" w:rsidRPr="00406DC9" w:rsidRDefault="006C0DED" w:rsidP="002532D5">
      <w:pPr>
        <w:pStyle w:val="ZLITPKTzmpktliter"/>
      </w:pPr>
      <w:r>
        <w:t>2)</w:t>
      </w:r>
      <w:r>
        <w:tab/>
      </w:r>
      <w:r w:rsidR="00397778" w:rsidRPr="00406DC9">
        <w:t>wiek drzewa lub krzewu, lub</w:t>
      </w:r>
      <w:r w:rsidR="002532D5">
        <w:tab/>
      </w:r>
    </w:p>
    <w:p w:rsidR="00397778" w:rsidRPr="00406DC9" w:rsidRDefault="006C0DED" w:rsidP="002532D5">
      <w:pPr>
        <w:pStyle w:val="ZLITPKTzmpktliter"/>
      </w:pPr>
      <w:r>
        <w:t>3)</w:t>
      </w:r>
      <w:r>
        <w:tab/>
      </w:r>
      <w:r w:rsidR="00397778" w:rsidRPr="00406DC9">
        <w:t>obwód pnia drzewa na wysokości 130 cm lub powierzchnia krzewu albo krzewów rosnących w skupisku, lub</w:t>
      </w:r>
    </w:p>
    <w:p w:rsidR="00397778" w:rsidRPr="00406DC9" w:rsidRDefault="006C0DED" w:rsidP="002532D5">
      <w:pPr>
        <w:pStyle w:val="ZLITPKTzmpktliter"/>
        <w:keepNext/>
      </w:pPr>
      <w:r>
        <w:t>4)</w:t>
      </w:r>
      <w:r>
        <w:tab/>
      </w:r>
      <w:r w:rsidR="00397778" w:rsidRPr="00406DC9">
        <w:t>cel usunięcia drzewa lub krzewu:</w:t>
      </w:r>
    </w:p>
    <w:p w:rsidR="00397778" w:rsidRPr="00406DC9" w:rsidRDefault="006C0DED" w:rsidP="002532D5">
      <w:pPr>
        <w:pStyle w:val="ZLITLITwPKTzmlitwpktliter"/>
      </w:pPr>
      <w:r>
        <w:t>a)</w:t>
      </w:r>
      <w:r>
        <w:tab/>
      </w:r>
      <w:r w:rsidR="00397778" w:rsidRPr="00406DC9">
        <w:t>związany z prowadzeniem działalności gospodarczej,</w:t>
      </w:r>
    </w:p>
    <w:p w:rsidR="00397778" w:rsidRPr="00406DC9" w:rsidRDefault="006C0DED" w:rsidP="002532D5">
      <w:pPr>
        <w:pStyle w:val="ZLITLITwPKTzmlitwpktliter"/>
      </w:pPr>
      <w:r>
        <w:t>b)</w:t>
      </w:r>
      <w:r>
        <w:tab/>
      </w:r>
      <w:r w:rsidR="00397778" w:rsidRPr="00406DC9">
        <w:t>niezwiązany z prowadzeniem działalności gospodarczej, lub</w:t>
      </w:r>
    </w:p>
    <w:p w:rsidR="00397778" w:rsidRPr="00406DC9" w:rsidRDefault="006C0DED" w:rsidP="002532D5">
      <w:pPr>
        <w:pStyle w:val="ZLITPKTzmpktliter"/>
        <w:keepNext/>
      </w:pPr>
      <w:r>
        <w:t>5)</w:t>
      </w:r>
      <w:r>
        <w:tab/>
      </w:r>
      <w:r w:rsidR="00397778" w:rsidRPr="00406DC9">
        <w:t>cechy nieruchomości:</w:t>
      </w:r>
    </w:p>
    <w:p w:rsidR="00397778" w:rsidRPr="00406DC9" w:rsidRDefault="006C0DED" w:rsidP="002532D5">
      <w:pPr>
        <w:pStyle w:val="ZLITLITwPKTzmlitwpktliter"/>
      </w:pPr>
      <w:r>
        <w:t>a)</w:t>
      </w:r>
      <w:r>
        <w:tab/>
      </w:r>
      <w:r w:rsidR="00397778" w:rsidRPr="00406DC9">
        <w:t>objęcie nieruchomości określony</w:t>
      </w:r>
      <w:r w:rsidR="002844C7">
        <w:t>ch</w:t>
      </w:r>
      <w:r w:rsidR="00397778" w:rsidRPr="00406DC9">
        <w:t xml:space="preserve"> przez radę gminy formami ochrony przyrody, o któ</w:t>
      </w:r>
      <w:r w:rsidR="00E44520">
        <w:t>rych mowa w art. 6 ust. 1 pkt 1–</w:t>
      </w:r>
      <w:r w:rsidR="00397778" w:rsidRPr="00406DC9">
        <w:t>5,</w:t>
      </w:r>
    </w:p>
    <w:p w:rsidR="00397778" w:rsidRPr="00406DC9" w:rsidRDefault="006C0DED" w:rsidP="002532D5">
      <w:pPr>
        <w:pStyle w:val="ZLITLITwPKTzmlitwpktliter"/>
      </w:pPr>
      <w:r>
        <w:t>b)</w:t>
      </w:r>
      <w:r>
        <w:tab/>
      </w:r>
      <w:r w:rsidR="00397778" w:rsidRPr="00406DC9">
        <w:t>wpisanie do rejestru zabytków,</w:t>
      </w:r>
    </w:p>
    <w:p w:rsidR="00397778" w:rsidRPr="00406DC9" w:rsidRDefault="006C0DED" w:rsidP="002532D5">
      <w:pPr>
        <w:pStyle w:val="ZLITLITwPKTzmlitwpktliter"/>
      </w:pPr>
      <w:r>
        <w:t>c)</w:t>
      </w:r>
      <w:r>
        <w:tab/>
      </w:r>
      <w:r w:rsidR="00397778" w:rsidRPr="00406DC9">
        <w:t>położenie w pasie drogowym drogi publicznej,</w:t>
      </w:r>
    </w:p>
    <w:p w:rsidR="00397778" w:rsidRPr="00406DC9" w:rsidRDefault="002532D5" w:rsidP="002532D5">
      <w:pPr>
        <w:pStyle w:val="ZLITLITwPKTzmlitwpktliter"/>
      </w:pPr>
      <w:r>
        <w:t>d)</w:t>
      </w:r>
      <w:r>
        <w:tab/>
      </w:r>
      <w:r w:rsidR="00397778" w:rsidRPr="00406DC9">
        <w:t>rodzaj użytku wynikający z ewidencji gruntów i budynków,</w:t>
      </w:r>
    </w:p>
    <w:p w:rsidR="00397778" w:rsidRPr="00406DC9" w:rsidRDefault="002532D5" w:rsidP="002532D5">
      <w:pPr>
        <w:pStyle w:val="ZLITLITwPKTzmlitwpktliter"/>
      </w:pPr>
      <w:r>
        <w:t>e)</w:t>
      </w:r>
      <w:r>
        <w:tab/>
      </w:r>
      <w:r w:rsidR="00397778" w:rsidRPr="00406DC9">
        <w:t>określone przeznaczenie nieruchomości wynikające z miejscowego planu zagospodarowania przestrzennego lub decyzji o warunkach zabudowy i zagospodarowania terenu.</w:t>
      </w:r>
    </w:p>
    <w:p w:rsidR="00397778" w:rsidRPr="00406DC9" w:rsidRDefault="00397778" w:rsidP="002532D5">
      <w:pPr>
        <w:pStyle w:val="ZLITUSTzmustliter"/>
      </w:pPr>
      <w:r w:rsidRPr="00406DC9">
        <w:t>1b. W postępowaniu, którego przedmiotem jest sporządzenie projektu uchwały, o której mowa w ust. 1a, zapewnia się możliwość udziału społeczeństwa, na zasadach i w trybie określonych w ustawie z dnia 3 października 2008 r. o udostępnianiu informacji o środowisku i jego ochronie, udziale społeczeństwa w ochronie środowiska oraz o ocenach oddziaływania na środowisko.</w:t>
      </w:r>
      <w:r w:rsidR="00406DC9">
        <w:t>”</w:t>
      </w:r>
      <w:r w:rsidRPr="00406DC9">
        <w:t>;</w:t>
      </w:r>
    </w:p>
    <w:p w:rsidR="00397778" w:rsidRPr="00406DC9" w:rsidRDefault="00397778" w:rsidP="002532D5">
      <w:pPr>
        <w:pStyle w:val="PKTpunkt"/>
      </w:pPr>
      <w:r w:rsidRPr="00406DC9">
        <w:t>3) w art. 85:</w:t>
      </w:r>
    </w:p>
    <w:p w:rsidR="00397778" w:rsidRPr="00406DC9" w:rsidRDefault="002844C7" w:rsidP="002844C7">
      <w:pPr>
        <w:pStyle w:val="LITlitera"/>
        <w:keepNext/>
      </w:pPr>
      <w:r>
        <w:lastRenderedPageBreak/>
        <w:t>a)</w:t>
      </w:r>
      <w:r w:rsidR="00397778" w:rsidRPr="00406DC9">
        <w:t xml:space="preserve"> ust. 1 otrzymuje brzmienie:</w:t>
      </w:r>
    </w:p>
    <w:p w:rsidR="00397778" w:rsidRPr="00406DC9" w:rsidRDefault="00406DC9" w:rsidP="002844C7">
      <w:pPr>
        <w:pStyle w:val="ZLITUSTzmustliter"/>
      </w:pPr>
      <w:r>
        <w:t>„</w:t>
      </w:r>
      <w:r w:rsidR="00397778" w:rsidRPr="00406DC9">
        <w:t>1.</w:t>
      </w:r>
      <w:r>
        <w:t> </w:t>
      </w:r>
      <w:r w:rsidR="00397778" w:rsidRPr="00406DC9">
        <w:t>Opłatę za usunięcie drzewa ustala się mnożąc liczbę cm obwodu pnia drzewa mierzonego na wysokości 130 cm i stawkę opłaty.</w:t>
      </w:r>
      <w:r>
        <w:t>”</w:t>
      </w:r>
      <w:r w:rsidR="00397778" w:rsidRPr="00406DC9">
        <w:t>,</w:t>
      </w:r>
    </w:p>
    <w:p w:rsidR="00397778" w:rsidRPr="00406DC9" w:rsidRDefault="002844C7" w:rsidP="002844C7">
      <w:pPr>
        <w:pStyle w:val="LITlitera"/>
        <w:keepNext/>
      </w:pPr>
      <w:r>
        <w:t>b)</w:t>
      </w:r>
      <w:r w:rsidR="00406DC9">
        <w:t> </w:t>
      </w:r>
      <w:r w:rsidR="00397778" w:rsidRPr="00406DC9">
        <w:t>ust. 3 otrzymuje brzmienie:</w:t>
      </w:r>
    </w:p>
    <w:p w:rsidR="00397778" w:rsidRPr="00406DC9" w:rsidRDefault="00406DC9" w:rsidP="002844C7">
      <w:pPr>
        <w:pStyle w:val="ZLITUSTzmustliter"/>
      </w:pPr>
      <w:r>
        <w:t>„</w:t>
      </w:r>
      <w:r w:rsidR="00397778" w:rsidRPr="00406DC9">
        <w:t>3.</w:t>
      </w:r>
      <w:r>
        <w:t> </w:t>
      </w:r>
      <w:r w:rsidR="00397778" w:rsidRPr="00406DC9">
        <w:t>Opłatę za usunięcie krzewu ustala się mnożąc liczbę metrów kwadratowych powierzchni gruntu pokrytej usuwanymi krzewami i stawkę opłaty.</w:t>
      </w:r>
      <w:r>
        <w:t>”</w:t>
      </w:r>
      <w:r w:rsidR="00397778" w:rsidRPr="00406DC9">
        <w:t>,</w:t>
      </w:r>
    </w:p>
    <w:p w:rsidR="00397778" w:rsidRPr="00406DC9" w:rsidRDefault="002844C7" w:rsidP="002844C7">
      <w:pPr>
        <w:pStyle w:val="LITlitera"/>
        <w:keepNext/>
      </w:pPr>
      <w:r>
        <w:t>c)</w:t>
      </w:r>
      <w:r w:rsidR="00406DC9">
        <w:t> </w:t>
      </w:r>
      <w:r w:rsidR="00397778" w:rsidRPr="00406DC9">
        <w:t>po ust. 4 dodaje się ust. 4a w brzmieniu:</w:t>
      </w:r>
    </w:p>
    <w:p w:rsidR="00397778" w:rsidRPr="00406DC9" w:rsidRDefault="00406DC9" w:rsidP="002844C7">
      <w:pPr>
        <w:pStyle w:val="ZLITUSTzmustliter"/>
        <w:keepNext/>
      </w:pPr>
      <w:r>
        <w:t>„</w:t>
      </w:r>
      <w:r w:rsidR="00397778" w:rsidRPr="00406DC9">
        <w:t>4a.</w:t>
      </w:r>
      <w:r>
        <w:t> </w:t>
      </w:r>
      <w:r w:rsidR="00397778" w:rsidRPr="00406DC9">
        <w:t>Rada gminy, w drodze uchwały stanowiącej akt prawa miejscowego, określa wysoko</w:t>
      </w:r>
      <w:r w:rsidR="002150B6">
        <w:t>ść stawek opłat</w:t>
      </w:r>
      <w:r w:rsidR="00397778" w:rsidRPr="00406DC9">
        <w:t>, o których mowa w ust. 1 i 3, jednolicie dla wszystkich drzew lub krzewów albo różnicując je ze względu na:</w:t>
      </w:r>
    </w:p>
    <w:p w:rsidR="00397778" w:rsidRPr="00406DC9" w:rsidRDefault="00397778" w:rsidP="002844C7">
      <w:pPr>
        <w:pStyle w:val="ZLITPKTzmpktliter"/>
      </w:pPr>
      <w:r w:rsidRPr="00406DC9">
        <w:t>1)</w:t>
      </w:r>
      <w:r w:rsidR="00406DC9">
        <w:tab/>
      </w:r>
      <w:r w:rsidRPr="00406DC9">
        <w:t>rodzaj lub gatunek drzew lub krzewów;</w:t>
      </w:r>
    </w:p>
    <w:p w:rsidR="00397778" w:rsidRPr="00406DC9" w:rsidRDefault="00397778" w:rsidP="002844C7">
      <w:pPr>
        <w:pStyle w:val="ZLITPKTzmpktliter"/>
      </w:pPr>
      <w:r w:rsidRPr="00406DC9">
        <w:t>2)</w:t>
      </w:r>
      <w:r w:rsidR="00406DC9">
        <w:tab/>
      </w:r>
      <w:r w:rsidRPr="00406DC9">
        <w:t>obwód pnia drzewa lub powierzchnię krzewu albo krzewów rosnących w skupisku.</w:t>
      </w:r>
      <w:r w:rsidR="00406DC9">
        <w:t>”</w:t>
      </w:r>
      <w:r w:rsidRPr="00406DC9">
        <w:t>,</w:t>
      </w:r>
    </w:p>
    <w:p w:rsidR="00397778" w:rsidRPr="00406DC9" w:rsidRDefault="002844C7" w:rsidP="002844C7">
      <w:pPr>
        <w:pStyle w:val="LITlitera"/>
        <w:keepNext/>
      </w:pPr>
      <w:r>
        <w:t>d)</w:t>
      </w:r>
      <w:r w:rsidR="00406DC9">
        <w:t> </w:t>
      </w:r>
      <w:r w:rsidR="00397778" w:rsidRPr="00406DC9">
        <w:t>ust. 5</w:t>
      </w:r>
      <w:r w:rsidR="00E44520">
        <w:t>–</w:t>
      </w:r>
      <w:r w:rsidR="002150B6">
        <w:t>8</w:t>
      </w:r>
      <w:r w:rsidR="00397778" w:rsidRPr="00406DC9">
        <w:t xml:space="preserve"> otrzymują brzmienie:</w:t>
      </w:r>
    </w:p>
    <w:p w:rsidR="00397778" w:rsidRPr="00406DC9" w:rsidRDefault="00406DC9" w:rsidP="002844C7">
      <w:pPr>
        <w:pStyle w:val="ZLITUSTzmustliter"/>
      </w:pPr>
      <w:r>
        <w:t>„</w:t>
      </w:r>
      <w:r w:rsidR="00397778" w:rsidRPr="00406DC9">
        <w:t>5.</w:t>
      </w:r>
      <w:r>
        <w:t> </w:t>
      </w:r>
      <w:r w:rsidR="002150B6">
        <w:t>Stawki opłat</w:t>
      </w:r>
      <w:r w:rsidR="00397778" w:rsidRPr="00406DC9">
        <w:t xml:space="preserve"> za usuwanie drzew nie mogą przekraczać 500</w:t>
      </w:r>
      <w:r w:rsidR="009A17DF">
        <w:t xml:space="preserve"> </w:t>
      </w:r>
      <w:r w:rsidR="00397778" w:rsidRPr="00406DC9">
        <w:t>zł.</w:t>
      </w:r>
    </w:p>
    <w:p w:rsidR="00397778" w:rsidRPr="00406DC9" w:rsidRDefault="00397778" w:rsidP="002844C7">
      <w:pPr>
        <w:pStyle w:val="ZLITUSTzmustliter"/>
      </w:pPr>
      <w:r w:rsidRPr="00406DC9">
        <w:t>6.</w:t>
      </w:r>
      <w:r w:rsidR="00406DC9">
        <w:t> </w:t>
      </w:r>
      <w:r w:rsidR="002150B6">
        <w:t>Stawki opłat</w:t>
      </w:r>
      <w:r w:rsidRPr="00406DC9">
        <w:t xml:space="preserve"> za usuwanie krzewów nie mogą przekraczać 200</w:t>
      </w:r>
      <w:r w:rsidR="009A17DF">
        <w:t xml:space="preserve"> </w:t>
      </w:r>
      <w:r w:rsidRPr="00406DC9">
        <w:t>zł.</w:t>
      </w:r>
    </w:p>
    <w:p w:rsidR="00397778" w:rsidRPr="00406DC9" w:rsidRDefault="00397778" w:rsidP="002844C7">
      <w:pPr>
        <w:pStyle w:val="ZLITUSTzmustliter"/>
      </w:pPr>
      <w:r w:rsidRPr="00406DC9">
        <w:t>7.</w:t>
      </w:r>
      <w:r w:rsidR="00406DC9">
        <w:t> </w:t>
      </w:r>
      <w:r w:rsidRPr="00406DC9">
        <w:t>W przypadku, gdy rada gminy nie określi zgodnie z</w:t>
      </w:r>
      <w:r w:rsidR="002150B6">
        <w:t xml:space="preserve"> ust. 4a wysokości stawek opłat</w:t>
      </w:r>
      <w:r w:rsidRPr="00406DC9">
        <w:t xml:space="preserve">, o których mowa w ust. 1 i 3, do ustalania opłaty za usunięcie drzewa lub krzewu stosuje się </w:t>
      </w:r>
      <w:r w:rsidR="002150B6">
        <w:t xml:space="preserve">maksymalne </w:t>
      </w:r>
      <w:r w:rsidRPr="00406DC9">
        <w:t xml:space="preserve">stawki, o których mowa w ust. </w:t>
      </w:r>
      <w:r w:rsidR="002150B6">
        <w:t>5 i 6</w:t>
      </w:r>
      <w:r w:rsidRPr="00406DC9">
        <w:t>.</w:t>
      </w:r>
    </w:p>
    <w:p w:rsidR="00397778" w:rsidRPr="00406DC9" w:rsidRDefault="00397778" w:rsidP="002844C7">
      <w:pPr>
        <w:pStyle w:val="ZLITUSTzmustliter"/>
      </w:pPr>
      <w:r w:rsidRPr="00406DC9">
        <w:t>8.</w:t>
      </w:r>
      <w:r w:rsidR="00406DC9">
        <w:t> </w:t>
      </w:r>
      <w:r w:rsidRPr="00406DC9">
        <w:t>Stawki, o których mowa w ust. 5 i 6, podlegają z dniem 1 stycznia każdego roku waloryzacji o prognozowany średnioroczny wskaźnik cen towarów i usług konsumpcyjnych ogółem, przyjęty w ustawie budżetowej.</w:t>
      </w:r>
      <w:r w:rsidR="002150B6">
        <w:t>”;</w:t>
      </w:r>
    </w:p>
    <w:p w:rsidR="00397778" w:rsidRPr="00406DC9" w:rsidRDefault="00397778" w:rsidP="002532D5">
      <w:pPr>
        <w:pStyle w:val="PKTpunkt"/>
      </w:pPr>
      <w:r w:rsidRPr="00406DC9">
        <w:t>4)</w:t>
      </w:r>
      <w:r w:rsidR="00406DC9">
        <w:tab/>
      </w:r>
      <w:r w:rsidRPr="00406DC9">
        <w:t>w art. 86</w:t>
      </w:r>
      <w:r w:rsidR="009A17DF">
        <w:t>:</w:t>
      </w:r>
    </w:p>
    <w:p w:rsidR="00397778" w:rsidRPr="00406DC9" w:rsidRDefault="00397778" w:rsidP="002532D5">
      <w:pPr>
        <w:pStyle w:val="LITlitera"/>
      </w:pPr>
      <w:r w:rsidRPr="00406DC9">
        <w:t>a)</w:t>
      </w:r>
      <w:r w:rsidR="00406DC9">
        <w:tab/>
      </w:r>
      <w:r w:rsidRPr="00406DC9">
        <w:t>w ust. 1:</w:t>
      </w:r>
    </w:p>
    <w:p w:rsidR="00397778" w:rsidRPr="00406DC9" w:rsidRDefault="00406DC9" w:rsidP="002532D5">
      <w:pPr>
        <w:pStyle w:val="TIRtiret"/>
      </w:pPr>
      <w:r>
        <w:t>–</w:t>
      </w:r>
      <w:r>
        <w:tab/>
      </w:r>
      <w:r w:rsidR="00397778" w:rsidRPr="00406DC9">
        <w:t>uchyla się pkt 2,</w:t>
      </w:r>
    </w:p>
    <w:p w:rsidR="00397778" w:rsidRPr="00406DC9" w:rsidRDefault="00406DC9" w:rsidP="002532D5">
      <w:pPr>
        <w:pStyle w:val="TIRtiret"/>
        <w:keepNext/>
      </w:pPr>
      <w:r>
        <w:t>–</w:t>
      </w:r>
      <w:r>
        <w:tab/>
      </w:r>
      <w:r w:rsidR="00397778" w:rsidRPr="00406DC9">
        <w:t>pkt 7 i 8 otrzymują brzmienie:</w:t>
      </w:r>
    </w:p>
    <w:p w:rsidR="00397778" w:rsidRPr="00406DC9" w:rsidRDefault="00406DC9" w:rsidP="002532D5">
      <w:pPr>
        <w:pStyle w:val="ZTIRPKTzmpkttiret"/>
        <w:keepNext/>
      </w:pPr>
      <w:r>
        <w:t>„</w:t>
      </w:r>
      <w:r w:rsidR="00397778" w:rsidRPr="00406DC9">
        <w:t>7)</w:t>
      </w:r>
      <w:r>
        <w:tab/>
      </w:r>
      <w:r w:rsidR="00397778" w:rsidRPr="00406DC9">
        <w:t>drzew, których obwód pnia mierzony na wysokości 130 cm nie przekracza:</w:t>
      </w:r>
    </w:p>
    <w:p w:rsidR="00397778" w:rsidRPr="00406DC9" w:rsidRDefault="00397778" w:rsidP="002532D5">
      <w:pPr>
        <w:pStyle w:val="ZTIRLITwPKTzmlitwpkttiret"/>
      </w:pPr>
      <w:r w:rsidRPr="00406DC9">
        <w:t>a)</w:t>
      </w:r>
      <w:r w:rsidR="00406DC9">
        <w:tab/>
      </w:r>
      <w:r w:rsidR="00E44520">
        <w:t>120 cm –</w:t>
      </w:r>
      <w:r w:rsidRPr="00406DC9">
        <w:t xml:space="preserve"> w przypadku topoli, wierzb, kasztanowca zwyczajnego, klonu jesionolistnego, klonu srebrzystego, robinii akacjowej oraz platanu </w:t>
      </w:r>
      <w:proofErr w:type="spellStart"/>
      <w:r w:rsidRPr="00406DC9">
        <w:t>klonolistnego</w:t>
      </w:r>
      <w:proofErr w:type="spellEnd"/>
      <w:r w:rsidRPr="00406DC9">
        <w:t>,</w:t>
      </w:r>
    </w:p>
    <w:p w:rsidR="00397778" w:rsidRPr="00406DC9" w:rsidRDefault="00397778" w:rsidP="00003AA5">
      <w:pPr>
        <w:pStyle w:val="ZTIRLITwPKTzmlitwpkttiret"/>
      </w:pPr>
      <w:r w:rsidRPr="00406DC9">
        <w:t>b)</w:t>
      </w:r>
      <w:r w:rsidR="00406DC9">
        <w:tab/>
      </w:r>
      <w:r w:rsidR="00E44520">
        <w:t xml:space="preserve"> </w:t>
      </w:r>
      <w:r w:rsidR="00546882">
        <w:t xml:space="preserve">80 </w:t>
      </w:r>
      <w:r w:rsidR="00E44520">
        <w:t>cm –</w:t>
      </w:r>
      <w:r w:rsidRPr="00406DC9">
        <w:t xml:space="preserve"> w przypadku pozostałych gatunków drzew</w:t>
      </w:r>
    </w:p>
    <w:p w:rsidR="00397778" w:rsidRPr="00406DC9" w:rsidRDefault="00406DC9" w:rsidP="00003AA5">
      <w:pPr>
        <w:pStyle w:val="ZTIRCZWSPLITzmczciwsplittiret"/>
      </w:pPr>
      <w:r>
        <w:lastRenderedPageBreak/>
        <w:t>– </w:t>
      </w:r>
      <w:r w:rsidR="00397778" w:rsidRPr="00406DC9">
        <w:t>w celu przywrócenia gruntów nieużytkowanych do użytkowania innego niż rolnicze, zgodnego z przeznaczeniem terenu, określonym w miejscowym planie zagospodarowania przestrzennego lub decyzji o warunkach zabudowy i zagospodarowania terenu;</w:t>
      </w:r>
    </w:p>
    <w:p w:rsidR="00397778" w:rsidRPr="00406DC9" w:rsidRDefault="00397778" w:rsidP="00003AA5">
      <w:pPr>
        <w:pStyle w:val="ZTIRPKTzmpkttiret"/>
      </w:pPr>
      <w:r w:rsidRPr="00406DC9">
        <w:t>8)</w:t>
      </w:r>
      <w:r w:rsidR="00406DC9">
        <w:tab/>
      </w:r>
      <w:r w:rsidRPr="00406DC9">
        <w:t>krzewu lub krzewów rosnących w skupiskach, pokrywających grunt o powierzchni do 50 m</w:t>
      </w:r>
      <w:r w:rsidRPr="00546882">
        <w:rPr>
          <w:rStyle w:val="IGindeksgrny"/>
        </w:rPr>
        <w:t>2</w:t>
      </w:r>
      <w:r w:rsidRPr="00406DC9">
        <w:t>, w celu przywrócenia gruntów nieużytkowanych do użytkowania innego niż rolnicze, zgodnego z przeznaczeniem terenu, określonym w miejscowym planie zagospodarowania przestrzennego lub decyzji o warunkach zabudowy i zagospodarowania terenu;</w:t>
      </w:r>
      <w:r w:rsidR="00406DC9">
        <w:t>”</w:t>
      </w:r>
      <w:r w:rsidRPr="00406DC9">
        <w:t>,</w:t>
      </w:r>
    </w:p>
    <w:p w:rsidR="00397778" w:rsidRPr="00406DC9" w:rsidRDefault="00397778" w:rsidP="006F588A">
      <w:pPr>
        <w:pStyle w:val="LITlitera"/>
      </w:pPr>
      <w:r w:rsidRPr="00406DC9">
        <w:t>b)</w:t>
      </w:r>
      <w:r w:rsidR="00406DC9">
        <w:tab/>
      </w:r>
      <w:r w:rsidRPr="00406DC9">
        <w:t>po ust. 1 dodaje się ust. 1a w brzmieniu:</w:t>
      </w:r>
    </w:p>
    <w:p w:rsidR="00397778" w:rsidRPr="00406DC9" w:rsidRDefault="00406DC9" w:rsidP="00003AA5">
      <w:pPr>
        <w:pStyle w:val="ZUSTzmustartykuempunktem"/>
      </w:pPr>
      <w:r>
        <w:t>„</w:t>
      </w:r>
      <w:r w:rsidR="00397778" w:rsidRPr="00406DC9">
        <w:t>1a.</w:t>
      </w:r>
      <w:r>
        <w:t> </w:t>
      </w:r>
      <w:r w:rsidR="00397778" w:rsidRPr="00406DC9">
        <w:t>Rada gminy, w drodze uchwały stanowiącej akt prawa miejscowego, może określić, że opłat za usunięcie drzewa lub krzewu nie nalicza się także w przypadku innych drzew lub krzewów, wskazanych w oparciu o kryteria, o których mowa w art. 83f ust. 1a.</w:t>
      </w:r>
      <w:r>
        <w:t>”</w:t>
      </w:r>
      <w:r w:rsidR="009A17DF">
        <w:t>;</w:t>
      </w:r>
    </w:p>
    <w:p w:rsidR="00397778" w:rsidRPr="00406DC9" w:rsidRDefault="00003AA5" w:rsidP="00003AA5">
      <w:pPr>
        <w:pStyle w:val="PKTpunkt"/>
        <w:keepNext/>
      </w:pPr>
      <w:r>
        <w:t>5)</w:t>
      </w:r>
      <w:r>
        <w:tab/>
      </w:r>
      <w:r w:rsidR="00397778" w:rsidRPr="00406DC9">
        <w:t>w art. 89 ust. 1 otrzymuje brzmienie:</w:t>
      </w:r>
    </w:p>
    <w:p w:rsidR="00397778" w:rsidRPr="00406DC9" w:rsidRDefault="00406DC9" w:rsidP="00003AA5">
      <w:pPr>
        <w:pStyle w:val="ZUSTzmustartykuempunktem"/>
      </w:pPr>
      <w:r>
        <w:t>„</w:t>
      </w:r>
      <w:r w:rsidR="00397778" w:rsidRPr="00406DC9">
        <w:t>1. Administracyjną karę pieniężną, o któ</w:t>
      </w:r>
      <w:r w:rsidR="00E44520">
        <w:t>rej mowa w art. 88 ust. 1 pkt 1–</w:t>
      </w:r>
      <w:r w:rsidR="00397778" w:rsidRPr="00406DC9">
        <w:t>3, ustala się w wysokości dwukrotnej opłaty za usunięcie drzewa lub krzewu, o której mowa w art. 84 ust. 1, a w przypadku, w którym usunięcie drzewa lub krzewu jest zwolnione z obowiązku uiszczenia opłaty, administracyjną karę pieniężną ustala się w wysokości takiej opłaty, która byłaby ponoszona gdyby takiego zwolnienia nie było.</w:t>
      </w:r>
      <w:r>
        <w:t>”</w:t>
      </w:r>
      <w:r w:rsidR="00397778" w:rsidRPr="00406DC9">
        <w:t>.</w:t>
      </w:r>
    </w:p>
    <w:p w:rsidR="00397778" w:rsidRPr="00406DC9" w:rsidRDefault="00397778" w:rsidP="00003AA5">
      <w:pPr>
        <w:pStyle w:val="ARTartustawynprozporzdzenia"/>
        <w:keepNext/>
      </w:pPr>
      <w:r w:rsidRPr="00003AA5">
        <w:rPr>
          <w:rStyle w:val="Ppogrubienie"/>
        </w:rPr>
        <w:t>Art.</w:t>
      </w:r>
      <w:r w:rsidR="00406DC9" w:rsidRPr="00003AA5">
        <w:rPr>
          <w:rStyle w:val="Ppogrubienie"/>
        </w:rPr>
        <w:t> </w:t>
      </w:r>
      <w:r w:rsidRPr="00003AA5">
        <w:rPr>
          <w:rStyle w:val="Ppogrubienie"/>
        </w:rPr>
        <w:t>2.</w:t>
      </w:r>
      <w:r w:rsidR="00406DC9">
        <w:t> </w:t>
      </w:r>
      <w:r w:rsidRPr="00406DC9">
        <w:t xml:space="preserve">W ustawie z dnia 28 września 1991 r. o lasach (Dz. U. z </w:t>
      </w:r>
      <w:r w:rsidR="00425F51" w:rsidRPr="00666A42">
        <w:rPr>
          <w:rFonts w:ascii="Times New Roman" w:hAnsi="Times New Roman" w:cs="Times New Roman"/>
          <w:szCs w:val="24"/>
        </w:rPr>
        <w:t>2015 r. poz. 2100</w:t>
      </w:r>
      <w:r w:rsidR="001554C4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="001554C4">
        <w:rPr>
          <w:rFonts w:ascii="Times New Roman" w:hAnsi="Times New Roman" w:cs="Times New Roman"/>
          <w:szCs w:val="24"/>
        </w:rPr>
        <w:t>późn</w:t>
      </w:r>
      <w:proofErr w:type="spellEnd"/>
      <w:r w:rsidR="001554C4">
        <w:rPr>
          <w:rFonts w:ascii="Times New Roman" w:hAnsi="Times New Roman" w:cs="Times New Roman"/>
          <w:szCs w:val="24"/>
        </w:rPr>
        <w:t>. zm.</w:t>
      </w:r>
      <w:r w:rsidR="001554C4">
        <w:rPr>
          <w:rStyle w:val="Odwoanieprzypisudolnego"/>
          <w:rFonts w:ascii="Times New Roman" w:hAnsi="Times New Roman"/>
          <w:szCs w:val="24"/>
        </w:rPr>
        <w:footnoteReference w:id="1"/>
      </w:r>
      <w:r w:rsidR="001554C4">
        <w:rPr>
          <w:rStyle w:val="IGindeksgrny"/>
        </w:rPr>
        <w:t>)</w:t>
      </w:r>
      <w:r w:rsidRPr="00406DC9">
        <w:t>) po art. 14a dodaje się art. 14b w brzmieniu:</w:t>
      </w:r>
    </w:p>
    <w:p w:rsidR="00397778" w:rsidRPr="00406DC9" w:rsidRDefault="00406DC9" w:rsidP="00003AA5">
      <w:pPr>
        <w:pStyle w:val="ZARTzmartartykuempunktem"/>
      </w:pPr>
      <w:r>
        <w:t>„</w:t>
      </w:r>
      <w:r w:rsidR="00397778" w:rsidRPr="00406DC9">
        <w:t>Art.</w:t>
      </w:r>
      <w:r>
        <w:t> </w:t>
      </w:r>
      <w:r w:rsidR="00397778" w:rsidRPr="00406DC9">
        <w:t>14b.</w:t>
      </w:r>
      <w:r>
        <w:t> </w:t>
      </w:r>
      <w:r w:rsidR="00397778" w:rsidRPr="00406DC9">
        <w:t>1. Właściciele lasów realizują cele i zasady gospodarki leśnej wskazane w ustawie, w szczególności wypełniają obowiązki, o których mowa w art. 9 ust. 1, art. 13 ust. 1 i art. 14 ust. 4, w sposób przez siebie określony, chyba że sposób wypełniania danego obowiązku został ustalony przez przepisy prawa.</w:t>
      </w:r>
    </w:p>
    <w:p w:rsidR="00397778" w:rsidRPr="00406DC9" w:rsidRDefault="00397778" w:rsidP="00003AA5">
      <w:pPr>
        <w:pStyle w:val="ZUSTzmustartykuempunktem"/>
        <w:keepNext/>
      </w:pPr>
      <w:r w:rsidRPr="00406DC9">
        <w:t>2.</w:t>
      </w:r>
      <w:r w:rsidR="00406DC9">
        <w:t> </w:t>
      </w:r>
      <w:r w:rsidRPr="00406DC9">
        <w:t xml:space="preserve">Minister właściwy do spraw środowiska określi, w drodze rozporządzenia, </w:t>
      </w:r>
      <w:r w:rsidR="00546882">
        <w:t xml:space="preserve">wymagania dobrej praktyki </w:t>
      </w:r>
      <w:r w:rsidRPr="00406DC9">
        <w:t>w zakresie gospodarki leśnej, uwzględniając:</w:t>
      </w:r>
    </w:p>
    <w:p w:rsidR="00397778" w:rsidRPr="00406DC9" w:rsidRDefault="00397778" w:rsidP="00003AA5">
      <w:pPr>
        <w:pStyle w:val="ZPKTzmpktartykuempunktem"/>
      </w:pPr>
      <w:r w:rsidRPr="00406DC9">
        <w:t>1)</w:t>
      </w:r>
      <w:r w:rsidR="00406DC9">
        <w:tab/>
      </w:r>
      <w:r w:rsidRPr="00406DC9">
        <w:t xml:space="preserve">cele określone w art. 7 ust. 1, w tym potrzebę zachowania wszystkich zasobów, tworów i składników przyrody w odpowiednim stanie, w </w:t>
      </w:r>
      <w:r w:rsidRPr="00406DC9">
        <w:lastRenderedPageBreak/>
        <w:t>szczególności gatunków, które są przedmiotem za</w:t>
      </w:r>
      <w:r w:rsidR="009A17DF">
        <w:t>interesowania Unii Europejskiej;</w:t>
      </w:r>
    </w:p>
    <w:p w:rsidR="00397778" w:rsidRPr="00406DC9" w:rsidRDefault="00397778" w:rsidP="00003AA5">
      <w:pPr>
        <w:pStyle w:val="ZPKTzmpktartykuempunktem"/>
      </w:pPr>
      <w:r w:rsidRPr="00406DC9">
        <w:t>2)</w:t>
      </w:r>
      <w:r w:rsidR="00406DC9">
        <w:tab/>
      </w:r>
      <w:r w:rsidRPr="00406DC9">
        <w:t>uwarunkowania gospodarcze, społeczne i kulturowe oraz cechy lokalne.</w:t>
      </w:r>
    </w:p>
    <w:p w:rsidR="00397778" w:rsidRPr="00406DC9" w:rsidRDefault="00397778" w:rsidP="00003AA5">
      <w:pPr>
        <w:pStyle w:val="ZUSTzmustartykuempunktem"/>
      </w:pPr>
      <w:r w:rsidRPr="00406DC9">
        <w:t>3.</w:t>
      </w:r>
      <w:r w:rsidR="00406DC9">
        <w:t> </w:t>
      </w:r>
      <w:r w:rsidRPr="00406DC9">
        <w:t xml:space="preserve">Gospodarka leśna wykonywana </w:t>
      </w:r>
      <w:r w:rsidR="00546882">
        <w:t xml:space="preserve">zgodnie z wymaganiami </w:t>
      </w:r>
      <w:r w:rsidRPr="00406DC9">
        <w:t>dobr</w:t>
      </w:r>
      <w:r w:rsidR="00546882">
        <w:t>ej</w:t>
      </w:r>
      <w:r w:rsidRPr="00406DC9">
        <w:t xml:space="preserve"> praktyk</w:t>
      </w:r>
      <w:r w:rsidR="00546882">
        <w:t>i w zakresie gospodarki leśnej</w:t>
      </w:r>
      <w:r w:rsidRPr="00406DC9">
        <w:t xml:space="preserve"> nie narusza przepisów o ochronie poszczególnych zasobów, tworów i składników przyrody, w szczególności przepisów art. 51 i art. 52 ustawy z dnia 16 kwietnia 2004</w:t>
      </w:r>
      <w:r w:rsidR="00546882">
        <w:t xml:space="preserve"> </w:t>
      </w:r>
      <w:r w:rsidRPr="00406DC9">
        <w:t>r. o ochronie przyrody</w:t>
      </w:r>
      <w:r w:rsidR="009A17DF">
        <w:t xml:space="preserve"> </w:t>
      </w:r>
      <w:r w:rsidR="009A17DF" w:rsidRPr="00406DC9">
        <w:t xml:space="preserve">(Dz. U. z </w:t>
      </w:r>
      <w:r w:rsidR="009A17DF" w:rsidRPr="00666A42">
        <w:rPr>
          <w:rFonts w:ascii="Times New Roman" w:hAnsi="Times New Roman" w:cs="Times New Roman"/>
          <w:szCs w:val="24"/>
        </w:rPr>
        <w:t>2015 r. poz. 1651, 1688 i 1936 oraz z 2016 r. poz. 422</w:t>
      </w:r>
      <w:r w:rsidR="009A17DF" w:rsidRPr="00406DC9">
        <w:t>)</w:t>
      </w:r>
      <w:r w:rsidRPr="00406DC9">
        <w:t>.</w:t>
      </w:r>
      <w:r w:rsidR="00406DC9">
        <w:t>”</w:t>
      </w:r>
      <w:r w:rsidR="00614C74">
        <w:t>.</w:t>
      </w:r>
    </w:p>
    <w:p w:rsidR="00397778" w:rsidRPr="00406DC9" w:rsidRDefault="00397778" w:rsidP="00003AA5">
      <w:pPr>
        <w:pStyle w:val="ARTartustawynprozporzdzenia"/>
      </w:pPr>
      <w:r w:rsidRPr="00003AA5">
        <w:rPr>
          <w:rStyle w:val="Ppogrubienie"/>
        </w:rPr>
        <w:t>Art.</w:t>
      </w:r>
      <w:r w:rsidR="00406DC9" w:rsidRPr="00003AA5">
        <w:rPr>
          <w:rStyle w:val="Ppogrubienie"/>
        </w:rPr>
        <w:t> </w:t>
      </w:r>
      <w:r w:rsidRPr="00003AA5">
        <w:rPr>
          <w:rStyle w:val="Ppogrubienie"/>
        </w:rPr>
        <w:t>3.</w:t>
      </w:r>
      <w:r w:rsidR="00406DC9">
        <w:t> </w:t>
      </w:r>
      <w:r w:rsidRPr="00406DC9">
        <w:t>Do dnia 31 grudnia 2017 r. uznaje się, że gospodarka leśna nie narusza zakazów, o któr</w:t>
      </w:r>
      <w:r w:rsidR="00E44520">
        <w:t>ych mowa w art. 52 ust. 1 pkt 1–</w:t>
      </w:r>
      <w:r w:rsidRPr="00406DC9">
        <w:t>3, 7, 8, 12 i 13 ustawy z dnia 16 kwietnia 2004 r. o ochronie przyrody</w:t>
      </w:r>
      <w:r w:rsidR="008728D3">
        <w:t xml:space="preserve"> </w:t>
      </w:r>
      <w:r w:rsidR="008728D3" w:rsidRPr="00406DC9">
        <w:t xml:space="preserve">(Dz. U. z </w:t>
      </w:r>
      <w:r w:rsidR="008728D3" w:rsidRPr="00666A42">
        <w:rPr>
          <w:rFonts w:ascii="Times New Roman" w:hAnsi="Times New Roman" w:cs="Times New Roman"/>
          <w:szCs w:val="24"/>
        </w:rPr>
        <w:t>2015 r. poz. 1651, 1688 i 1936 oraz z 2016 r. poz. 422</w:t>
      </w:r>
      <w:r w:rsidR="008728D3" w:rsidRPr="00406DC9">
        <w:t>)</w:t>
      </w:r>
      <w:r w:rsidRPr="00406DC9">
        <w:t xml:space="preserve"> w przypadku, gdy jest wykonywana na podstawie planów, które zostały poddane strategicznej ocenie oddziaływania na środowisko.</w:t>
      </w:r>
    </w:p>
    <w:p w:rsidR="00397778" w:rsidRPr="00406DC9" w:rsidRDefault="00397778" w:rsidP="00003AA5">
      <w:pPr>
        <w:pStyle w:val="ARTartustawynprozporzdzenia"/>
      </w:pPr>
      <w:r w:rsidRPr="00003AA5">
        <w:rPr>
          <w:rStyle w:val="Ppogrubienie"/>
        </w:rPr>
        <w:t>Art.</w:t>
      </w:r>
      <w:r w:rsidR="00406DC9" w:rsidRPr="00003AA5">
        <w:rPr>
          <w:rStyle w:val="Ppogrubienie"/>
        </w:rPr>
        <w:t> </w:t>
      </w:r>
      <w:r w:rsidRPr="00003AA5">
        <w:rPr>
          <w:rStyle w:val="Ppogrubienie"/>
        </w:rPr>
        <w:t>4.</w:t>
      </w:r>
      <w:r w:rsidR="00406DC9">
        <w:t> </w:t>
      </w:r>
      <w:r w:rsidRPr="00406DC9">
        <w:t>1. Do postępowań w spr</w:t>
      </w:r>
      <w:r w:rsidR="00E44520">
        <w:t>awach, o których mowa w art. 83–</w:t>
      </w:r>
      <w:r w:rsidRPr="00406DC9">
        <w:t>87 ustawy zmienianej w art. 1</w:t>
      </w:r>
      <w:r w:rsidR="009A17DF">
        <w:t>,</w:t>
      </w:r>
      <w:r w:rsidRPr="00406DC9">
        <w:t xml:space="preserve"> wszczętych i niezakończonych decyzją ostateczną przed dniem wejścia w życie </w:t>
      </w:r>
      <w:r w:rsidR="00614C74">
        <w:t xml:space="preserve">niniejszej </w:t>
      </w:r>
      <w:r w:rsidRPr="00406DC9">
        <w:t xml:space="preserve">ustawy, stosuje się przepisy nowe, </w:t>
      </w:r>
      <w:r w:rsidR="009A17DF">
        <w:t>chyba</w:t>
      </w:r>
      <w:r w:rsidRPr="00406DC9">
        <w:t xml:space="preserve"> że opłata za usunięcie drzewa naliczona na ich podstawie byłaby wyższa niż opłata naliczona na podstawie przepisów dotychczasowych.</w:t>
      </w:r>
    </w:p>
    <w:p w:rsidR="00397778" w:rsidRPr="00406DC9" w:rsidRDefault="00397778" w:rsidP="00003AA5">
      <w:pPr>
        <w:pStyle w:val="USTustnpkodeksu"/>
      </w:pPr>
      <w:r w:rsidRPr="00406DC9">
        <w:t>2.</w:t>
      </w:r>
      <w:r w:rsidR="00406DC9">
        <w:t> </w:t>
      </w:r>
      <w:r w:rsidRPr="00406DC9">
        <w:t xml:space="preserve">Do postępowań w sprawach, o których mowa w art. 88 i </w:t>
      </w:r>
      <w:r w:rsidR="00614C74">
        <w:t xml:space="preserve">art. </w:t>
      </w:r>
      <w:r w:rsidRPr="00406DC9">
        <w:t>89 ustawy zmienianej w art. 1</w:t>
      </w:r>
      <w:r w:rsidR="009A17DF">
        <w:t>,</w:t>
      </w:r>
      <w:r w:rsidR="00614C74">
        <w:t xml:space="preserve"> </w:t>
      </w:r>
      <w:r w:rsidRPr="00406DC9">
        <w:t xml:space="preserve">wszczętych i niezakończonych decyzją ostateczną przed dniem wejścia w życie </w:t>
      </w:r>
      <w:r w:rsidR="00614C74">
        <w:t xml:space="preserve">niniejszej </w:t>
      </w:r>
      <w:r w:rsidRPr="00406DC9">
        <w:t>ustawy, stosuje się przepisy nowe, chyba że kara pieniężna wymierzona na podstawie przepisów ustawy zmienianej w art. 1, w brzmieniu dotychczasowym, byłaby względniejsza.</w:t>
      </w:r>
    </w:p>
    <w:p w:rsidR="00397778" w:rsidRPr="00406DC9" w:rsidRDefault="00397778" w:rsidP="00003AA5">
      <w:pPr>
        <w:pStyle w:val="ARTartustawynprozporzdzenia"/>
      </w:pPr>
      <w:r w:rsidRPr="00003AA5">
        <w:rPr>
          <w:rStyle w:val="Ppogrubienie"/>
        </w:rPr>
        <w:t>Art.</w:t>
      </w:r>
      <w:r w:rsidR="00406DC9" w:rsidRPr="00003AA5">
        <w:rPr>
          <w:rStyle w:val="Ppogrubienie"/>
        </w:rPr>
        <w:t> </w:t>
      </w:r>
      <w:r w:rsidRPr="00003AA5">
        <w:rPr>
          <w:rStyle w:val="Ppogrubienie"/>
        </w:rPr>
        <w:t>5.</w:t>
      </w:r>
      <w:r w:rsidR="00406DC9">
        <w:t> </w:t>
      </w:r>
      <w:r w:rsidRPr="00406DC9">
        <w:t>Ustawa wchodzi w życie z dniem 1 stycznia 2017 r.</w:t>
      </w:r>
    </w:p>
    <w:p w:rsidR="005E31CC" w:rsidRDefault="005E31CC" w:rsidP="00251963">
      <w:pPr>
        <w:rPr>
          <w:rStyle w:val="Ppogrubienie"/>
          <w:b w:val="0"/>
        </w:rPr>
      </w:pPr>
    </w:p>
    <w:p w:rsidR="000728F3" w:rsidRDefault="00BA7724" w:rsidP="00BA7724">
      <w:pPr>
        <w:pStyle w:val="tekst"/>
        <w:tabs>
          <w:tab w:val="center" w:pos="6804"/>
        </w:tabs>
        <w:spacing w:line="276" w:lineRule="auto"/>
        <w:rPr>
          <w:rStyle w:val="Ppogrubienie"/>
          <w:b w:val="0"/>
        </w:rPr>
      </w:pPr>
      <w:r>
        <w:rPr>
          <w:rStyle w:val="Ppogrubienie"/>
          <w:b w:val="0"/>
        </w:rPr>
        <w:tab/>
      </w:r>
    </w:p>
    <w:p w:rsidR="00BA7724" w:rsidRDefault="000728F3" w:rsidP="00BA7724">
      <w:pPr>
        <w:pStyle w:val="tekst"/>
        <w:tabs>
          <w:tab w:val="center" w:pos="6804"/>
        </w:tabs>
        <w:spacing w:line="276" w:lineRule="auto"/>
      </w:pPr>
      <w:r>
        <w:rPr>
          <w:rStyle w:val="Ppogrubienie"/>
          <w:b w:val="0"/>
        </w:rPr>
        <w:tab/>
      </w:r>
      <w:r w:rsidR="00BA7724">
        <w:t>MARSZAŁEK SEJMU</w:t>
      </w:r>
    </w:p>
    <w:p w:rsidR="00BA7724" w:rsidRPr="00546BBA" w:rsidRDefault="00BA7724" w:rsidP="00BA772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A7724" w:rsidRPr="00546BBA" w:rsidRDefault="00BA7724" w:rsidP="00BA772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A7724" w:rsidRPr="00546BBA" w:rsidRDefault="00BA7724" w:rsidP="00BA772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A7724" w:rsidRPr="00406DC9" w:rsidRDefault="00BA7724" w:rsidP="00BA7724">
      <w:pPr>
        <w:pStyle w:val="tekst"/>
        <w:tabs>
          <w:tab w:val="center" w:pos="6804"/>
        </w:tabs>
        <w:spacing w:line="276" w:lineRule="auto"/>
        <w:rPr>
          <w:rStyle w:val="Ppogrubienie"/>
          <w:b w:val="0"/>
        </w:rPr>
      </w:pPr>
      <w:r>
        <w:tab/>
        <w:t>Marek Kuchciński</w:t>
      </w:r>
    </w:p>
    <w:sectPr w:rsidR="00BA7724" w:rsidRPr="00406DC9" w:rsidSect="00BA77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DC" w:rsidRDefault="004801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DC" w:rsidRDefault="004801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DC" w:rsidRDefault="004801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1554C4" w:rsidRPr="001554C4" w:rsidRDefault="001554C4" w:rsidP="001554C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</w:t>
      </w:r>
      <w:r w:rsidRPr="00406DC9">
        <w:t xml:space="preserve">Dz. U. </w:t>
      </w:r>
      <w:r w:rsidRPr="00666A42">
        <w:rPr>
          <w:rFonts w:cs="Times New Roman"/>
          <w:szCs w:val="24"/>
        </w:rPr>
        <w:t>z 2016 r. poz. 422, 586, 903</w:t>
      </w:r>
      <w:r>
        <w:rPr>
          <w:rFonts w:cs="Times New Roman"/>
          <w:szCs w:val="24"/>
        </w:rPr>
        <w:t>,</w:t>
      </w:r>
      <w:r w:rsidRPr="00666A42">
        <w:rPr>
          <w:rFonts w:cs="Times New Roman"/>
          <w:szCs w:val="24"/>
        </w:rPr>
        <w:t xml:space="preserve"> 1020</w:t>
      </w:r>
      <w:r>
        <w:rPr>
          <w:rFonts w:cs="Times New Roman"/>
          <w:szCs w:val="24"/>
        </w:rPr>
        <w:t xml:space="preserve"> i 1948.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DC" w:rsidRDefault="004801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01342"/>
      <w:docPartObj>
        <w:docPartGallery w:val="Page Numbers (Top of Page)"/>
        <w:docPartUnique/>
      </w:docPartObj>
    </w:sdtPr>
    <w:sdtEndPr/>
    <w:sdtContent>
      <w:p w:rsidR="00BA7724" w:rsidRDefault="00BA772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DC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DC" w:rsidRDefault="00480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2D45F79"/>
    <w:multiLevelType w:val="hybridMultilevel"/>
    <w:tmpl w:val="9C028E04"/>
    <w:lvl w:ilvl="0" w:tplc="63FEA0A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51CC7E06">
      <w:start w:val="1"/>
      <w:numFmt w:val="lowerLetter"/>
      <w:lvlText w:val="%2)"/>
      <w:lvlJc w:val="left"/>
      <w:pPr>
        <w:ind w:left="12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822580"/>
    <w:multiLevelType w:val="hybridMultilevel"/>
    <w:tmpl w:val="9EF47E4E"/>
    <w:lvl w:ilvl="0" w:tplc="82BA820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B035A7"/>
    <w:multiLevelType w:val="hybridMultilevel"/>
    <w:tmpl w:val="49325150"/>
    <w:lvl w:ilvl="0" w:tplc="D0C4921E">
      <w:start w:val="1"/>
      <w:numFmt w:val="lowerLetter"/>
      <w:lvlText w:val="%1)"/>
      <w:lvlJc w:val="left"/>
      <w:pPr>
        <w:ind w:left="1636" w:hanging="360"/>
      </w:pPr>
    </w:lvl>
    <w:lvl w:ilvl="1" w:tplc="BEAC40F4">
      <w:start w:val="1"/>
      <w:numFmt w:val="decimal"/>
      <w:lvlText w:val="%2)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8"/>
  </w:num>
  <w:num w:numId="6">
    <w:abstractNumId w:val="33"/>
  </w:num>
  <w:num w:numId="7">
    <w:abstractNumId w:val="38"/>
  </w:num>
  <w:num w:numId="8">
    <w:abstractNumId w:val="33"/>
  </w:num>
  <w:num w:numId="9">
    <w:abstractNumId w:val="38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9"/>
  </w:num>
  <w:num w:numId="30">
    <w:abstractNumId w:val="34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7"/>
  </w:num>
  <w:num w:numId="44">
    <w:abstractNumId w:val="12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03AA5"/>
    <w:rsid w:val="000043F4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5854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28F3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B64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54C4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D66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50B6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32D5"/>
    <w:rsid w:val="002555D4"/>
    <w:rsid w:val="00261A16"/>
    <w:rsid w:val="00263522"/>
    <w:rsid w:val="00264EC6"/>
    <w:rsid w:val="00271013"/>
    <w:rsid w:val="00273FE4"/>
    <w:rsid w:val="002765B4"/>
    <w:rsid w:val="00276A94"/>
    <w:rsid w:val="002844C7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6873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5C87"/>
    <w:rsid w:val="00352DAE"/>
    <w:rsid w:val="00354EB9"/>
    <w:rsid w:val="003564FE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97778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DC9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25F51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1D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ACA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708"/>
    <w:rsid w:val="00526DFC"/>
    <w:rsid w:val="00526F43"/>
    <w:rsid w:val="00527651"/>
    <w:rsid w:val="005363AB"/>
    <w:rsid w:val="00544EF4"/>
    <w:rsid w:val="00545E53"/>
    <w:rsid w:val="00546882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28CA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4C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0DED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88A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598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95F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28D3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7DF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86A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724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2FE7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CB2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768"/>
    <w:rsid w:val="00DE7DC1"/>
    <w:rsid w:val="00DF3F7E"/>
    <w:rsid w:val="00DF7648"/>
    <w:rsid w:val="00E00E29"/>
    <w:rsid w:val="00E02BAB"/>
    <w:rsid w:val="00E02DC9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4520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578E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80C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3977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99"/>
    <w:qFormat/>
    <w:rsid w:val="00397778"/>
    <w:pPr>
      <w:ind w:left="720"/>
      <w:contextualSpacing/>
    </w:pPr>
  </w:style>
  <w:style w:type="paragraph" w:customStyle="1" w:styleId="tytu">
    <w:name w:val="tytuł"/>
    <w:basedOn w:val="Normalny"/>
    <w:rsid w:val="00516708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BA7724"/>
    <w:pPr>
      <w:suppressLineNumbers/>
      <w:spacing w:before="60" w:after="60" w:line="240" w:lineRule="auto"/>
      <w:jc w:val="both"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3977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99"/>
    <w:qFormat/>
    <w:rsid w:val="00397778"/>
    <w:pPr>
      <w:ind w:left="720"/>
      <w:contextualSpacing/>
    </w:pPr>
  </w:style>
  <w:style w:type="paragraph" w:customStyle="1" w:styleId="tytu">
    <w:name w:val="tytuł"/>
    <w:basedOn w:val="Normalny"/>
    <w:rsid w:val="00516708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BA7724"/>
    <w:pPr>
      <w:suppressLineNumbers/>
      <w:spacing w:before="60" w:after="60" w:line="240" w:lineRule="auto"/>
      <w:jc w:val="both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8AF48D-1213-4848-8434-F97FBD2C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5</Pages>
  <Words>1201</Words>
  <Characters>7210</Characters>
  <Application>Microsoft Office Word</Application>
  <DocSecurity>4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2016-12-16T14:21:00Z</cp:lastPrinted>
  <dcterms:created xsi:type="dcterms:W3CDTF">2016-12-19T08:44:00Z</dcterms:created>
  <dcterms:modified xsi:type="dcterms:W3CDTF">2016-12-19T08:44:00Z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