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75" w:rsidRDefault="00CB1E75" w:rsidP="00DD2108">
      <w:pPr>
        <w:pStyle w:val="OZNRODZAKTUtznustawalubrozporzdzenieiorganwydajcy"/>
      </w:pPr>
      <w:bookmarkStart w:id="0" w:name="_GoBack"/>
      <w:bookmarkEnd w:id="0"/>
    </w:p>
    <w:p w:rsidR="00DD2108" w:rsidRPr="00677644" w:rsidRDefault="00DD2108" w:rsidP="00DD2108">
      <w:pPr>
        <w:pStyle w:val="OZNRODZAKTUtznustawalubrozporzdzenieiorganwydajcy"/>
      </w:pPr>
      <w:r w:rsidRPr="00677644">
        <w:t>USTAWA</w:t>
      </w:r>
    </w:p>
    <w:p w:rsidR="00DD2108" w:rsidRPr="00677644" w:rsidRDefault="00DD2108" w:rsidP="00DD2108">
      <w:pPr>
        <w:pStyle w:val="DATAAKTUdatauchwalenialubwydaniaaktu"/>
      </w:pPr>
      <w:r w:rsidRPr="00677644">
        <w:t>z dnia</w:t>
      </w:r>
      <w:r w:rsidR="00CB1E75">
        <w:t xml:space="preserve"> 15 grudnia 2016 r. </w:t>
      </w:r>
    </w:p>
    <w:p w:rsidR="00DD2108" w:rsidRPr="00677644" w:rsidRDefault="00DD2108" w:rsidP="00DD2108">
      <w:pPr>
        <w:pStyle w:val="TYTUAKTUprzedmiotregulacjiustawylubrozporzdzenia"/>
      </w:pPr>
      <w:r w:rsidRPr="00677644">
        <w:t>o zmianie ustawy o szczególnych rozwiązaniach służących realizacji</w:t>
      </w:r>
      <w:r w:rsidR="00CB1E75">
        <w:br/>
      </w:r>
      <w:r w:rsidRPr="00677644">
        <w:t>ustawy budżetowej na rok 2016</w:t>
      </w:r>
    </w:p>
    <w:p w:rsidR="00313018" w:rsidRPr="00313018" w:rsidRDefault="00DD2108" w:rsidP="00313018">
      <w:pPr>
        <w:pStyle w:val="ARTartustawynprozporzdzenia"/>
      </w:pPr>
      <w:r w:rsidRPr="00331FB9">
        <w:rPr>
          <w:rStyle w:val="Ppogrubienie"/>
        </w:rPr>
        <w:t>Art.</w:t>
      </w:r>
      <w:r w:rsidRPr="00DD2108">
        <w:rPr>
          <w:rStyle w:val="Ppogrubienie"/>
        </w:rPr>
        <w:t> 1.</w:t>
      </w:r>
      <w:r w:rsidRPr="00DD2108">
        <w:t xml:space="preserve"> </w:t>
      </w:r>
      <w:r w:rsidR="00313018" w:rsidRPr="00313018">
        <w:t xml:space="preserve">W ustawie z dnia 16 grudnia 2015 r. o szczególnych rozwiązaniach służących realizacji ustawy budżetowej na rok 2016 (Dz. U. poz. 2199) po art. 18 dodaje się art. 18a </w:t>
      </w:r>
      <w:r w:rsidR="00DF3E28">
        <w:t xml:space="preserve">i art. 18b </w:t>
      </w:r>
      <w:r w:rsidR="00313018" w:rsidRPr="00313018">
        <w:t>w brzmieniu:</w:t>
      </w:r>
    </w:p>
    <w:p w:rsidR="00313018" w:rsidRPr="00313018" w:rsidRDefault="00313018" w:rsidP="00313018">
      <w:pPr>
        <w:pStyle w:val="ZARTzmartartykuempunktem"/>
        <w:keepNext/>
      </w:pPr>
      <w:r w:rsidRPr="00313018">
        <w:t>„Art. 18a. 1. W przypadku utworzenia w roku 2016 rezerwy celowej z kwoty wydatków zablokowanych na podstawie art. 177 ust. 1 pkt 2 i 3 ustawy z dnia 27 sierpnia 2009 r. o finansach publicznych z przeznaczeniem na zakup dóbr kultury, w tym zabytków, oraz praw do dóbr kultury</w:t>
      </w:r>
      <w:r>
        <w:t>,</w:t>
      </w:r>
      <w:r w:rsidRPr="00313018">
        <w:t xml:space="preserve"> o szczególnym znaczeniu dla Państwa Polskiego i dziedzictwa kulturowego:</w:t>
      </w:r>
    </w:p>
    <w:p w:rsidR="00313018" w:rsidRPr="00313018" w:rsidRDefault="00313018" w:rsidP="00313018">
      <w:pPr>
        <w:pStyle w:val="ZPKTzmpktartykuempunktem"/>
      </w:pPr>
      <w:r w:rsidRPr="00313018">
        <w:t>1)</w:t>
      </w:r>
      <w:r w:rsidRPr="00313018">
        <w:tab/>
        <w:t>nie stosuje się trybu określonego w art. 177 ust. 6 ustawy z dnia 27 sierpnia 2009 r. o finansach publicznych;</w:t>
      </w:r>
    </w:p>
    <w:p w:rsidR="00313018" w:rsidRPr="00313018" w:rsidRDefault="00313018" w:rsidP="00313018">
      <w:pPr>
        <w:pStyle w:val="ZPKTzmpktartykuempunktem"/>
      </w:pPr>
      <w:r w:rsidRPr="00313018">
        <w:t>2)</w:t>
      </w:r>
      <w:r w:rsidRPr="00313018">
        <w:tab/>
        <w:t>podziału rezerwy dokonuje minister właściwy do spraw finansów publicznych w porozumieniu z właściwymi ministrami lub innymi dysponentami części budżetowych, nie później niż do dnia 31 grudnia 2016 r.</w:t>
      </w:r>
    </w:p>
    <w:p w:rsidR="00313018" w:rsidRPr="00313018" w:rsidRDefault="00313018" w:rsidP="00A56376">
      <w:pPr>
        <w:pStyle w:val="ZUSTzmustartykuempunktem"/>
      </w:pPr>
      <w:r w:rsidRPr="00313018">
        <w:t>2. W przypadku utworzenia w roku 2016 rezerwy celowej z kwoty wydatków zablokowanych na podstawie art. 177 ust. 1 pkt 2 i 3 ustawy z dnia 27 sierpnia 2009 r. o finansach publicznych z przeznaczeniem na dotację celową dla Agencji Rezerw Materiałowych na realizację zadań związanych z rezerwami strategicznymi:</w:t>
      </w:r>
    </w:p>
    <w:p w:rsidR="00313018" w:rsidRPr="00313018" w:rsidRDefault="00313018" w:rsidP="00313018">
      <w:pPr>
        <w:pStyle w:val="ZPKTzmpktartykuempunktem"/>
      </w:pPr>
      <w:r w:rsidRPr="00313018">
        <w:t>1)</w:t>
      </w:r>
      <w:r w:rsidRPr="00313018">
        <w:tab/>
        <w:t>nie stosuje się trybu określonego w art. 177 ust. 6 ustawy z dnia 27 sierpnia 2009 r. o finansach publicznych;</w:t>
      </w:r>
    </w:p>
    <w:p w:rsidR="00313018" w:rsidRPr="00313018" w:rsidRDefault="00313018" w:rsidP="00313018">
      <w:pPr>
        <w:pStyle w:val="ZPKTzmpktartykuempunktem"/>
      </w:pPr>
      <w:r w:rsidRPr="00313018">
        <w:t>2)</w:t>
      </w:r>
      <w:r w:rsidRPr="00313018">
        <w:tab/>
        <w:t>podziału rezerwy dokonuje minister właściwy do spraw finansów publicznych w porozumieniu z właściwymi ministrami lub innymi dysponentami części budżetowych, nie później niż do dnia 31 grudnia 2016 r.;</w:t>
      </w:r>
    </w:p>
    <w:p w:rsidR="00316E2A" w:rsidRDefault="00313018" w:rsidP="00313018">
      <w:pPr>
        <w:pStyle w:val="ZPKTzmpktartykuempunktem"/>
      </w:pPr>
      <w:r w:rsidRPr="00313018">
        <w:t>3)</w:t>
      </w:r>
      <w:r w:rsidRPr="00313018">
        <w:tab/>
        <w:t xml:space="preserve">zmiany planu finansowego Agencji Rezerw Materiałowych dokonywane w trybie art. 21 ust. 5 ustawy z dnia 27 sierpnia 2009 r. o finansach publicznych, dotyczące realizacji zadań finansowanych ze środków rezerwy, </w:t>
      </w:r>
      <w:r w:rsidRPr="00313018">
        <w:lastRenderedPageBreak/>
        <w:t>nie wymagają zaopiniowania przez sejmową komisję właściwą do spraw budżetu.</w:t>
      </w:r>
    </w:p>
    <w:p w:rsidR="00316E2A" w:rsidRPr="00316E2A" w:rsidRDefault="00316E2A" w:rsidP="00316E2A">
      <w:pPr>
        <w:pStyle w:val="ZUSTzmustartykuempunktem"/>
      </w:pPr>
      <w:r>
        <w:t>3.</w:t>
      </w:r>
      <w:r w:rsidRPr="00313018">
        <w:t xml:space="preserve"> W przypadku utworzenia w roku 2016 rezerwy celowej z kwoty wydatków zablokowanych na podstawie art. 177 ust. 1 pkt 2 i 3 ustawy z dnia 27 sierpnia 2009 r. o finansach publicznych z przeznaczeniem na </w:t>
      </w:r>
      <w:r>
        <w:t xml:space="preserve">dotację celową dla Funduszu Restrukturyzacji Przedsiębiorców na realizację ustawowych zadań Funduszu: </w:t>
      </w:r>
    </w:p>
    <w:p w:rsidR="00316E2A" w:rsidRPr="00313018" w:rsidRDefault="00316E2A" w:rsidP="00316E2A">
      <w:pPr>
        <w:pStyle w:val="ZPKTzmpktartykuempunktem"/>
      </w:pPr>
      <w:r w:rsidRPr="00313018">
        <w:t>1)</w:t>
      </w:r>
      <w:r w:rsidRPr="00313018">
        <w:tab/>
        <w:t>nie stosuje się trybu określonego w art. 177 ust. 6 ustawy z dnia 27 sierpnia 2009 r. o finansach publicznych;</w:t>
      </w:r>
    </w:p>
    <w:p w:rsidR="00316E2A" w:rsidRDefault="00316E2A" w:rsidP="00316E2A">
      <w:pPr>
        <w:pStyle w:val="ZPKTzmpktartykuempunktem"/>
      </w:pPr>
      <w:r w:rsidRPr="00313018">
        <w:t>2)</w:t>
      </w:r>
      <w:r w:rsidRPr="00313018">
        <w:tab/>
        <w:t>podziału rezerwy dokonuje minister właściwy do spraw finansów publicznych w porozumieniu z właściwymi ministrami lub innymi dysponentami części budżetowych, nie później niż do dnia 31 grudnia 2016 r.</w:t>
      </w:r>
      <w:r>
        <w:t>;</w:t>
      </w:r>
    </w:p>
    <w:p w:rsidR="00316E2A" w:rsidRDefault="00316E2A" w:rsidP="00316E2A">
      <w:pPr>
        <w:pStyle w:val="ZPKTzmpktartykuempunktem"/>
      </w:pPr>
      <w:r>
        <w:t>3)</w:t>
      </w:r>
      <w:r>
        <w:tab/>
        <w:t xml:space="preserve">do zmiany planu finansowego Funduszu Restrukturyzacji Przedsiębiorców nie stosuje się przepisu art. 29 ust. 10 </w:t>
      </w:r>
      <w:r w:rsidRPr="00313018">
        <w:t>ustawy z dnia 27 sierpnia 2009 r. o finansach publicznych</w:t>
      </w:r>
      <w:r>
        <w:t>;</w:t>
      </w:r>
    </w:p>
    <w:p w:rsidR="00316E2A" w:rsidRDefault="00316E2A" w:rsidP="00316E2A">
      <w:pPr>
        <w:pStyle w:val="ZPKTzmpktartykuempunktem"/>
      </w:pPr>
      <w:r>
        <w:t>4)</w:t>
      </w:r>
      <w:r>
        <w:tab/>
        <w:t xml:space="preserve">zmiany planu finansowego Funduszu Restrukturyzacji Przedsiębiorców dokonywane w trybie art. 29 ust. 12 </w:t>
      </w:r>
      <w:r w:rsidRPr="00313018">
        <w:t>ustawy z dnia 27 sierpnia 2009 r. o finansach publicznych</w:t>
      </w:r>
      <w:r>
        <w:t xml:space="preserve">, dotyczące realizacji zadań finansowanych ze środków rezerwy celowej, nie wymagają uzyskania zgody ministra właściwego do spraw finansów publicznych oraz </w:t>
      </w:r>
      <w:r w:rsidRPr="00313018">
        <w:t>zaopiniowania przez sejmową komisję właściwą do spraw budżetu</w:t>
      </w:r>
      <w:r>
        <w:t>.</w:t>
      </w:r>
    </w:p>
    <w:p w:rsidR="00313018" w:rsidRDefault="00316E2A" w:rsidP="00316E2A">
      <w:pPr>
        <w:pStyle w:val="ZARTzmartartykuempunktem"/>
      </w:pPr>
      <w:r>
        <w:t xml:space="preserve">Art. 18b. </w:t>
      </w:r>
      <w:r w:rsidR="00DF3E28">
        <w:t>W roku 2016 minister właściwy do spraw Skarbu Państwa może udzielić dotacji celowej Funduszowi Restrukturyzacji Przedsiębiorców do kwoty 300 000 tys. z</w:t>
      </w:r>
      <w:r w:rsidR="00A56376">
        <w:t>ł</w:t>
      </w:r>
      <w:r w:rsidR="00DF3E28">
        <w:t xml:space="preserve"> na realizację ustawowych zadań Funduszu.</w:t>
      </w:r>
      <w:r w:rsidR="00313018" w:rsidRPr="00313018">
        <w:t>”</w:t>
      </w:r>
      <w:r w:rsidR="00313018">
        <w:t>.</w:t>
      </w:r>
    </w:p>
    <w:p w:rsidR="00DD2108" w:rsidRDefault="00DD2108" w:rsidP="00313018">
      <w:pPr>
        <w:pStyle w:val="ARTartustawynprozporzdzenia"/>
      </w:pPr>
      <w:r w:rsidRPr="00331FB9">
        <w:rPr>
          <w:rStyle w:val="Ppogrubienie"/>
        </w:rPr>
        <w:t>Art.</w:t>
      </w:r>
      <w:r>
        <w:rPr>
          <w:rStyle w:val="Ppogrubienie"/>
        </w:rPr>
        <w:t> </w:t>
      </w:r>
      <w:r w:rsidRPr="00331FB9">
        <w:rPr>
          <w:rStyle w:val="Ppogrubienie"/>
        </w:rPr>
        <w:t>2.</w:t>
      </w:r>
      <w:r w:rsidRPr="00677644">
        <w:rPr>
          <w:rStyle w:val="Ppogrubienie"/>
        </w:rPr>
        <w:t xml:space="preserve"> </w:t>
      </w:r>
      <w:r w:rsidRPr="00677644">
        <w:t>Ustawa wchodzi w</w:t>
      </w:r>
      <w:r>
        <w:t xml:space="preserve"> </w:t>
      </w:r>
      <w:r w:rsidRPr="00677644">
        <w:t>życie z</w:t>
      </w:r>
      <w:r>
        <w:t xml:space="preserve"> </w:t>
      </w:r>
      <w:r w:rsidRPr="00677644">
        <w:t>dniem następującym po dniu ogłoszenia.</w:t>
      </w:r>
    </w:p>
    <w:p w:rsidR="00CB1E75" w:rsidRDefault="00CB1E75" w:rsidP="00313018">
      <w:pPr>
        <w:pStyle w:val="ARTartustawynprozporzdzenia"/>
      </w:pPr>
    </w:p>
    <w:p w:rsidR="00F1413B" w:rsidRDefault="00F1413B" w:rsidP="00F1413B">
      <w:pPr>
        <w:pStyle w:val="tekst"/>
        <w:tabs>
          <w:tab w:val="center" w:pos="6804"/>
        </w:tabs>
      </w:pPr>
    </w:p>
    <w:p w:rsidR="00F1413B" w:rsidRDefault="00F1413B" w:rsidP="00F1413B">
      <w:pPr>
        <w:pStyle w:val="tekst"/>
        <w:tabs>
          <w:tab w:val="center" w:pos="6804"/>
        </w:tabs>
        <w:spacing w:line="276" w:lineRule="auto"/>
      </w:pPr>
      <w:r>
        <w:tab/>
        <w:t>MARSZAŁEK SEJMU</w:t>
      </w:r>
    </w:p>
    <w:p w:rsidR="00F1413B" w:rsidRPr="00546BBA" w:rsidRDefault="00F1413B" w:rsidP="00F1413B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F1413B" w:rsidRPr="00546BBA" w:rsidRDefault="00F1413B" w:rsidP="00F1413B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F1413B" w:rsidRPr="00546BBA" w:rsidRDefault="00F1413B" w:rsidP="00F1413B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F1413B" w:rsidRDefault="00F1413B" w:rsidP="00F1413B">
      <w:pPr>
        <w:pStyle w:val="tekst"/>
        <w:tabs>
          <w:tab w:val="center" w:pos="6804"/>
        </w:tabs>
        <w:spacing w:line="276" w:lineRule="auto"/>
      </w:pPr>
      <w:r>
        <w:tab/>
        <w:t>Marek Kuchciński</w:t>
      </w:r>
    </w:p>
    <w:p w:rsidR="00F1413B" w:rsidRPr="00677644" w:rsidRDefault="00F1413B" w:rsidP="00F1413B">
      <w:pPr>
        <w:pStyle w:val="ARTartustawynprozporzdzenia"/>
      </w:pPr>
    </w:p>
    <w:p w:rsidR="005E31CC" w:rsidRPr="00251963" w:rsidRDefault="005E31CC" w:rsidP="00DD2108">
      <w:pPr>
        <w:pStyle w:val="ARTartustawynprozporzdzenia"/>
        <w:rPr>
          <w:rStyle w:val="Ppogrubienie"/>
          <w:b w:val="0"/>
        </w:rPr>
      </w:pPr>
    </w:p>
    <w:sectPr w:rsidR="005E31CC" w:rsidRPr="00251963" w:rsidSect="00CB1E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FB" w:rsidRDefault="009858FB">
      <w:r>
        <w:separator/>
      </w:r>
    </w:p>
  </w:endnote>
  <w:endnote w:type="continuationSeparator" w:id="0">
    <w:p w:rsidR="009858FB" w:rsidRDefault="009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13B" w:rsidRDefault="00F141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13B" w:rsidRDefault="00F141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13B" w:rsidRDefault="00F141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FB" w:rsidRDefault="009858FB">
      <w:r>
        <w:separator/>
      </w:r>
    </w:p>
  </w:footnote>
  <w:footnote w:type="continuationSeparator" w:id="0">
    <w:p w:rsidR="009858FB" w:rsidRDefault="00985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13B" w:rsidRDefault="00F141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6443610"/>
      <w:docPartObj>
        <w:docPartGallery w:val="Page Numbers (Top of Page)"/>
        <w:docPartUnique/>
      </w:docPartObj>
    </w:sdtPr>
    <w:sdtEndPr/>
    <w:sdtContent>
      <w:p w:rsidR="00CB1E75" w:rsidRDefault="00CB1E75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5AF">
          <w:rPr>
            <w:noProof/>
          </w:rPr>
          <w:t>2</w:t>
        </w:r>
        <w:r>
          <w:fldChar w:fldCharType="end"/>
        </w:r>
      </w:p>
    </w:sdtContent>
  </w:sdt>
  <w:p w:rsidR="00CC3E3D" w:rsidRPr="00CB1E75" w:rsidRDefault="00CC3E3D" w:rsidP="00CB1E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13B" w:rsidRDefault="00F141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1F44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3018"/>
    <w:rsid w:val="003148FD"/>
    <w:rsid w:val="00316E2A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6216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0C64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520F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376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0714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4C18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1E75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76F82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D2108"/>
    <w:rsid w:val="00DE1554"/>
    <w:rsid w:val="00DE2901"/>
    <w:rsid w:val="00DE590F"/>
    <w:rsid w:val="00DE7DC1"/>
    <w:rsid w:val="00DF3E28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569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5AF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A5A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13B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5960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CB1E75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CB1E75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CB1E75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CB1E75"/>
    <w:pPr>
      <w:widowControl/>
      <w:suppressLineNumbers/>
      <w:autoSpaceDE/>
      <w:autoSpaceDN/>
      <w:adjustRightInd/>
      <w:spacing w:before="60" w:after="60" w:line="240" w:lineRule="auto"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CA262A-7525-42D3-80E2-CA2689E9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2</Pages>
  <Words>523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Dąbrowska Barbara</cp:lastModifiedBy>
  <cp:revision>2</cp:revision>
  <cp:lastPrinted>2016-12-15T18:00:00Z</cp:lastPrinted>
  <dcterms:created xsi:type="dcterms:W3CDTF">2016-12-15T23:54:00Z</dcterms:created>
  <dcterms:modified xsi:type="dcterms:W3CDTF">2016-12-15T23:54:00Z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